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9264" w14:textId="7723DC6B" w:rsidR="00C110CE" w:rsidRDefault="00C110CE" w:rsidP="00C110CE">
      <w:pPr>
        <w:rPr>
          <w:rFonts w:ascii="Arial" w:hAnsi="Arial" w:cs="Arial"/>
        </w:rPr>
      </w:pPr>
    </w:p>
    <w:p w14:paraId="617C7B40" w14:textId="2BF04B90" w:rsidR="00C110CE" w:rsidRPr="006A26C0" w:rsidRDefault="00C110CE" w:rsidP="006A26C0">
      <w:pPr>
        <w:spacing w:line="259" w:lineRule="auto"/>
        <w:rPr>
          <w:rFonts w:ascii="Arial" w:hAnsi="Arial" w:cs="Arial"/>
        </w:rPr>
      </w:pPr>
      <w:r w:rsidRPr="003F0280">
        <w:rPr>
          <w:rFonts w:ascii="Arial" w:hAnsi="Arial" w:cs="Arial"/>
          <w:b/>
          <w:bCs/>
          <w:color w:val="231F20"/>
          <w:sz w:val="20"/>
          <w:szCs w:val="20"/>
          <w:shd w:val="clear" w:color="auto" w:fill="FFFFFF"/>
        </w:rPr>
        <w:t>Identification of a distinct platelet phenotype in the elderly: ADP hypersensitivity co-exists with platelet protease-activated-receptor (PAR)-1 and PAR-4 mediated thrombin resistance</w:t>
      </w:r>
      <w:r w:rsidRPr="003F0280">
        <w:rPr>
          <w:rFonts w:ascii="Arial" w:hAnsi="Arial" w:cs="Arial"/>
          <w:color w:val="231F20"/>
          <w:shd w:val="clear" w:color="auto" w:fill="FFFFFF"/>
        </w:rPr>
        <w:t xml:space="preserve">. </w:t>
      </w:r>
    </w:p>
    <w:p w14:paraId="7F912721" w14:textId="7E697620" w:rsidR="00C110CE" w:rsidRPr="003F0280" w:rsidRDefault="00C110CE" w:rsidP="00C110CE">
      <w:pPr>
        <w:pStyle w:val="AbstractBookAuthors"/>
        <w:rPr>
          <w:rFonts w:ascii="Arial" w:hAnsi="Arial" w:cs="Arial"/>
          <w:i/>
          <w:sz w:val="18"/>
          <w:szCs w:val="18"/>
          <w:vertAlign w:val="superscript"/>
        </w:rPr>
      </w:pPr>
      <w:r w:rsidRPr="00FA18C1">
        <w:rPr>
          <w:rFonts w:ascii="Arial" w:hAnsi="Arial" w:cs="Arial"/>
          <w:b/>
          <w:bCs/>
          <w:i/>
          <w:sz w:val="20"/>
          <w:szCs w:val="20"/>
          <w:u w:val="single"/>
        </w:rPr>
        <w:t>Dr Sonali Gnanenthiran</w:t>
      </w:r>
      <w:r w:rsidRPr="00FA18C1">
        <w:rPr>
          <w:rFonts w:ascii="Arial" w:hAnsi="Arial" w:cs="Arial"/>
          <w:b/>
          <w:bCs/>
          <w:i/>
          <w:sz w:val="20"/>
          <w:szCs w:val="20"/>
          <w:u w:val="single"/>
          <w:vertAlign w:val="superscript"/>
        </w:rPr>
        <w:t>1</w:t>
      </w:r>
      <w:r w:rsidRPr="003F0280">
        <w:rPr>
          <w:rFonts w:ascii="Arial" w:hAnsi="Arial" w:cs="Arial"/>
          <w:i/>
          <w:sz w:val="18"/>
          <w:szCs w:val="18"/>
        </w:rPr>
        <w:t>, Dr Gabrielle Pennings</w:t>
      </w:r>
      <w:r w:rsidRPr="003F0280">
        <w:rPr>
          <w:rFonts w:ascii="Arial" w:hAnsi="Arial" w:cs="Arial"/>
          <w:i/>
          <w:sz w:val="18"/>
          <w:szCs w:val="18"/>
          <w:vertAlign w:val="superscript"/>
        </w:rPr>
        <w:t>1</w:t>
      </w:r>
      <w:r w:rsidRPr="003F0280">
        <w:rPr>
          <w:rFonts w:ascii="Arial" w:hAnsi="Arial" w:cs="Arial"/>
          <w:i/>
          <w:sz w:val="18"/>
          <w:szCs w:val="18"/>
        </w:rPr>
        <w:t xml:space="preserve">, </w:t>
      </w:r>
      <w:r w:rsidR="00FA18C1" w:rsidRPr="00FA18C1">
        <w:rPr>
          <w:rStyle w:val="AbstractBookPresentingAuthor"/>
          <w:rFonts w:ascii="Arial" w:hAnsi="Arial" w:cs="Arial"/>
          <w:b w:val="0"/>
          <w:bCs/>
          <w:i/>
          <w:iCs/>
          <w:sz w:val="18"/>
          <w:szCs w:val="18"/>
          <w:u w:val="none"/>
        </w:rPr>
        <w:t>Dr Caroline Reddel</w:t>
      </w:r>
      <w:r w:rsidR="00FA18C1" w:rsidRPr="00FA18C1">
        <w:rPr>
          <w:rStyle w:val="AbstractBookPresentingAuthor"/>
          <w:rFonts w:ascii="Arial" w:hAnsi="Arial" w:cs="Arial"/>
          <w:b w:val="0"/>
          <w:bCs/>
          <w:i/>
          <w:iCs/>
          <w:sz w:val="18"/>
          <w:szCs w:val="18"/>
          <w:u w:val="none"/>
          <w:vertAlign w:val="superscript"/>
        </w:rPr>
        <w:t>1</w:t>
      </w:r>
      <w:r w:rsidR="00FA18C1" w:rsidRPr="00FA18C1">
        <w:rPr>
          <w:rStyle w:val="AbstractBookPresentingAuthor"/>
          <w:rFonts w:ascii="Arial" w:hAnsi="Arial" w:cs="Arial"/>
          <w:b w:val="0"/>
          <w:bCs/>
          <w:i/>
          <w:iCs/>
          <w:sz w:val="18"/>
          <w:szCs w:val="18"/>
          <w:u w:val="none"/>
          <w:vertAlign w:val="superscript"/>
        </w:rPr>
        <w:t>,</w:t>
      </w:r>
      <w:r w:rsidR="0092593D" w:rsidRPr="0092593D">
        <w:rPr>
          <w:rStyle w:val="AbstractBookPresentingAuthor"/>
          <w:rFonts w:ascii="Arial" w:hAnsi="Arial" w:cs="Arial"/>
          <w:b w:val="0"/>
          <w:bCs/>
          <w:sz w:val="20"/>
          <w:szCs w:val="20"/>
          <w:u w:val="none"/>
          <w:vertAlign w:val="superscript"/>
        </w:rPr>
        <w:t xml:space="preserve"> </w:t>
      </w:r>
      <w:r w:rsidRPr="003F0280">
        <w:rPr>
          <w:rFonts w:ascii="Arial" w:hAnsi="Arial" w:cs="Arial"/>
          <w:i/>
          <w:sz w:val="18"/>
          <w:szCs w:val="18"/>
        </w:rPr>
        <w:t>Ms Heather Campbell</w:t>
      </w:r>
      <w:r w:rsidRPr="003F0280">
        <w:rPr>
          <w:rFonts w:ascii="Arial" w:hAnsi="Arial" w:cs="Arial"/>
          <w:i/>
          <w:sz w:val="18"/>
          <w:szCs w:val="18"/>
          <w:vertAlign w:val="superscript"/>
        </w:rPr>
        <w:t>1</w:t>
      </w:r>
      <w:r w:rsidRPr="003F0280">
        <w:rPr>
          <w:rFonts w:ascii="Arial" w:hAnsi="Arial" w:cs="Arial"/>
          <w:i/>
          <w:sz w:val="18"/>
          <w:szCs w:val="18"/>
        </w:rPr>
        <w:t>, Dr Maaike Kockx</w:t>
      </w:r>
      <w:r w:rsidRPr="003F0280">
        <w:rPr>
          <w:rFonts w:ascii="Arial" w:hAnsi="Arial" w:cs="Arial"/>
          <w:i/>
          <w:sz w:val="18"/>
          <w:szCs w:val="18"/>
          <w:vertAlign w:val="superscript"/>
        </w:rPr>
        <w:t>1</w:t>
      </w:r>
      <w:r w:rsidRPr="003F0280">
        <w:rPr>
          <w:rFonts w:ascii="Arial" w:hAnsi="Arial" w:cs="Arial"/>
          <w:i/>
          <w:sz w:val="18"/>
          <w:szCs w:val="18"/>
        </w:rPr>
        <w:t>, A/Professor Justin Hamilton</w:t>
      </w:r>
      <w:r w:rsidRPr="003F0280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3F0280">
        <w:rPr>
          <w:rFonts w:ascii="Arial" w:hAnsi="Arial" w:cs="Arial"/>
          <w:i/>
          <w:sz w:val="18"/>
          <w:szCs w:val="18"/>
        </w:rPr>
        <w:t>, A/Professor Viv</w:t>
      </w:r>
      <w:r w:rsidR="0092593D">
        <w:rPr>
          <w:rFonts w:ascii="Arial" w:hAnsi="Arial" w:cs="Arial"/>
          <w:i/>
          <w:sz w:val="18"/>
          <w:szCs w:val="18"/>
        </w:rPr>
        <w:t>i</w:t>
      </w:r>
      <w:r w:rsidRPr="003F0280">
        <w:rPr>
          <w:rFonts w:ascii="Arial" w:hAnsi="Arial" w:cs="Arial"/>
          <w:i/>
          <w:sz w:val="18"/>
          <w:szCs w:val="18"/>
        </w:rPr>
        <w:t>en Chen</w:t>
      </w:r>
      <w:r w:rsidRPr="003F0280">
        <w:rPr>
          <w:rFonts w:ascii="Arial" w:hAnsi="Arial" w:cs="Arial"/>
          <w:i/>
          <w:sz w:val="18"/>
          <w:szCs w:val="18"/>
          <w:vertAlign w:val="superscript"/>
        </w:rPr>
        <w:t>1</w:t>
      </w:r>
      <w:r w:rsidRPr="003F0280">
        <w:rPr>
          <w:rFonts w:ascii="Arial" w:hAnsi="Arial" w:cs="Arial"/>
          <w:i/>
          <w:sz w:val="18"/>
          <w:szCs w:val="18"/>
        </w:rPr>
        <w:t>, Professor Leonard Kritharides</w:t>
      </w:r>
      <w:r w:rsidRPr="003F0280">
        <w:rPr>
          <w:rFonts w:ascii="Arial" w:hAnsi="Arial" w:cs="Arial"/>
          <w:i/>
          <w:sz w:val="18"/>
          <w:szCs w:val="18"/>
          <w:vertAlign w:val="superscript"/>
        </w:rPr>
        <w:t>1</w:t>
      </w:r>
    </w:p>
    <w:p w14:paraId="7E9717DE" w14:textId="0A32AC8A" w:rsidR="00C110CE" w:rsidRPr="003F0280" w:rsidRDefault="00C110CE" w:rsidP="00C110CE">
      <w:pPr>
        <w:pStyle w:val="AbstractBookAffiliations"/>
        <w:rPr>
          <w:rFonts w:ascii="Arial" w:hAnsi="Arial" w:cs="Arial"/>
          <w:iCs/>
          <w:color w:val="231F20"/>
          <w:sz w:val="18"/>
          <w:szCs w:val="18"/>
          <w:shd w:val="clear" w:color="auto" w:fill="FFFFFF"/>
        </w:rPr>
      </w:pPr>
      <w:r w:rsidRPr="003F0280">
        <w:rPr>
          <w:rFonts w:ascii="Arial" w:hAnsi="Arial" w:cs="Arial"/>
          <w:iCs/>
          <w:color w:val="231F20"/>
          <w:sz w:val="18"/>
          <w:szCs w:val="18"/>
          <w:shd w:val="clear" w:color="auto" w:fill="FFFFFF"/>
          <w:vertAlign w:val="superscript"/>
        </w:rPr>
        <w:t>1</w:t>
      </w:r>
      <w:r w:rsidRPr="003F0280">
        <w:rPr>
          <w:rFonts w:ascii="Arial" w:hAnsi="Arial" w:cs="Arial"/>
          <w:iCs/>
          <w:color w:val="231F20"/>
          <w:sz w:val="18"/>
          <w:szCs w:val="18"/>
          <w:shd w:val="clear" w:color="auto" w:fill="FFFFFF"/>
        </w:rPr>
        <w:t xml:space="preserve">ANZAC Research Institute, Concord Hospital, Concord, Australia, </w:t>
      </w:r>
      <w:r w:rsidRPr="003F0280">
        <w:rPr>
          <w:rFonts w:ascii="Arial" w:hAnsi="Arial" w:cs="Arial"/>
          <w:iCs/>
          <w:color w:val="231F20"/>
          <w:sz w:val="18"/>
          <w:szCs w:val="18"/>
          <w:shd w:val="clear" w:color="auto" w:fill="FFFFFF"/>
          <w:vertAlign w:val="superscript"/>
        </w:rPr>
        <w:t>2</w:t>
      </w:r>
      <w:r w:rsidRPr="003F0280">
        <w:rPr>
          <w:rFonts w:ascii="Arial" w:hAnsi="Arial" w:cs="Arial"/>
          <w:iCs/>
          <w:color w:val="231F20"/>
          <w:sz w:val="18"/>
          <w:szCs w:val="18"/>
          <w:shd w:val="clear" w:color="auto" w:fill="FFFFFF"/>
        </w:rPr>
        <w:t>Monash University, Australia</w:t>
      </w:r>
    </w:p>
    <w:p w14:paraId="057B9BA9" w14:textId="77777777" w:rsidR="00C110CE" w:rsidRPr="003F0280" w:rsidRDefault="00C110CE" w:rsidP="00C110CE">
      <w:pPr>
        <w:pStyle w:val="AbstractBookBaseParagraph"/>
        <w:rPr>
          <w:rFonts w:ascii="Arial" w:hAnsi="Arial" w:cs="Arial"/>
          <w:color w:val="231F20"/>
          <w:shd w:val="clear" w:color="auto" w:fill="FFFFFF"/>
        </w:rPr>
      </w:pPr>
    </w:p>
    <w:p w14:paraId="720F472E" w14:textId="7EC0F639" w:rsidR="00C110CE" w:rsidRPr="003F0280" w:rsidRDefault="00C110CE" w:rsidP="00C110CE">
      <w:pPr>
        <w:shd w:val="clear" w:color="auto" w:fill="FFFFFF"/>
        <w:rPr>
          <w:rFonts w:ascii="Arial" w:hAnsi="Arial" w:cs="Arial"/>
          <w:sz w:val="20"/>
          <w:szCs w:val="20"/>
          <w:lang w:eastAsia="en-AU"/>
        </w:rPr>
      </w:pPr>
      <w:r w:rsidRPr="003F0280">
        <w:rPr>
          <w:rFonts w:ascii="Arial" w:hAnsi="Arial" w:cs="Arial"/>
          <w:b/>
          <w:bCs/>
          <w:color w:val="231F20"/>
          <w:sz w:val="20"/>
          <w:szCs w:val="20"/>
        </w:rPr>
        <w:t>Aim:</w:t>
      </w:r>
      <w:r w:rsidR="0092593D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Pr="003F0280">
        <w:rPr>
          <w:rFonts w:ascii="Arial" w:hAnsi="Arial" w:cs="Arial"/>
          <w:sz w:val="20"/>
          <w:szCs w:val="20"/>
        </w:rPr>
        <w:t>Thrombin (via PAR-1 and PAR-4 receptors) and adenosine diphosphate [ADP] (via</w:t>
      </w:r>
      <w:r w:rsidRPr="003F0280">
        <w:rPr>
          <w:rStyle w:val="CommentReference"/>
          <w:rFonts w:ascii="Arial" w:hAnsi="Arial" w:cs="Arial"/>
          <w:sz w:val="20"/>
          <w:szCs w:val="20"/>
        </w:rPr>
        <w:t xml:space="preserve"> </w:t>
      </w:r>
      <w:r w:rsidRPr="003F0280">
        <w:rPr>
          <w:rFonts w:ascii="Arial" w:hAnsi="Arial" w:cs="Arial"/>
          <w:sz w:val="20"/>
          <w:szCs w:val="20"/>
        </w:rPr>
        <w:t>P2Y</w:t>
      </w:r>
      <w:r w:rsidRPr="003F0280">
        <w:rPr>
          <w:rFonts w:ascii="Arial" w:hAnsi="Arial" w:cs="Arial"/>
          <w:sz w:val="20"/>
          <w:szCs w:val="20"/>
          <w:vertAlign w:val="subscript"/>
        </w:rPr>
        <w:t>12</w:t>
      </w:r>
      <w:r w:rsidRPr="003F0280">
        <w:rPr>
          <w:rFonts w:ascii="Arial" w:hAnsi="Arial" w:cs="Arial"/>
          <w:sz w:val="20"/>
          <w:szCs w:val="20"/>
        </w:rPr>
        <w:t xml:space="preserve"> receptors) are potent endogenous platelet activators implicated in the development of cardiovascular disease (CVD). While the frequency of CVD increases with age, the benefit of antiplatelet agents diminishes in the elderly. </w:t>
      </w:r>
      <w:r w:rsidRPr="003F0280">
        <w:rPr>
          <w:rFonts w:ascii="Arial" w:hAnsi="Arial" w:cs="Arial"/>
          <w:sz w:val="20"/>
          <w:szCs w:val="20"/>
          <w:lang w:eastAsia="en-AU"/>
        </w:rPr>
        <w:t>We aimed to assess whether platelet pathways altered with ageing.</w:t>
      </w:r>
    </w:p>
    <w:p w14:paraId="4F2AB708" w14:textId="77777777" w:rsidR="00C110CE" w:rsidRPr="003F0280" w:rsidRDefault="00C110CE" w:rsidP="00C110CE">
      <w:pPr>
        <w:shd w:val="clear" w:color="auto" w:fill="FFFFFF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34BC898B" w14:textId="332A746B" w:rsidR="00C110CE" w:rsidRPr="003F0280" w:rsidRDefault="00C110CE" w:rsidP="00C110CE">
      <w:pPr>
        <w:shd w:val="clear" w:color="auto" w:fill="FFFFFF"/>
        <w:rPr>
          <w:rFonts w:ascii="Arial" w:hAnsi="Arial" w:cs="Arial"/>
          <w:sz w:val="20"/>
          <w:szCs w:val="20"/>
        </w:rPr>
      </w:pPr>
      <w:r w:rsidRPr="003F0280">
        <w:rPr>
          <w:rFonts w:ascii="Arial" w:hAnsi="Arial" w:cs="Arial"/>
          <w:b/>
          <w:bCs/>
          <w:color w:val="231F20"/>
          <w:sz w:val="20"/>
          <w:szCs w:val="20"/>
        </w:rPr>
        <w:t>Method:</w:t>
      </w:r>
      <w:r w:rsidR="0092593D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Pr="003F0280">
        <w:rPr>
          <w:rFonts w:ascii="Arial" w:hAnsi="Arial" w:cs="Arial"/>
          <w:sz w:val="20"/>
          <w:szCs w:val="20"/>
        </w:rPr>
        <w:t xml:space="preserve">We characterised platelet activity in community-dwelling volunteers (n=174) recruited at Concord Hospital, Sydney, in the following age groups: (i) 20-30 (young); (ii) 40-55 (middle-aged); (iii) ≥70 years (elderly). Platelet activity was assessed by whole blood aggregometry; flow cytometry (surface markers [P-selectin: alpha granule release, CD63:  dense granule release, PAC-1: GPIIb/IIIa conformational activation] measured under basal conditions and after agonist stimulation [ADP, thrombin, PAR-1 agonist or PAR-4 agonist]; </w:t>
      </w:r>
      <w:r w:rsidRPr="003F0280">
        <w:rPr>
          <w:rFonts w:ascii="Arial" w:hAnsi="Arial" w:cs="Arial"/>
          <w:bCs/>
          <w:sz w:val="20"/>
          <w:szCs w:val="20"/>
        </w:rPr>
        <w:t>receptor</w:t>
      </w:r>
      <w:r w:rsidRPr="003F0280">
        <w:rPr>
          <w:rFonts w:ascii="Arial" w:eastAsia="MS Mincho" w:hAnsi="Arial" w:cs="Arial"/>
          <w:sz w:val="20"/>
          <w:szCs w:val="20"/>
          <w:lang w:val="en-GB"/>
        </w:rPr>
        <w:t xml:space="preserve"> cleavage and quantification; </w:t>
      </w:r>
      <w:r w:rsidRPr="003F0280">
        <w:rPr>
          <w:rFonts w:ascii="Arial" w:hAnsi="Arial" w:cs="Arial"/>
          <w:sz w:val="20"/>
          <w:szCs w:val="20"/>
        </w:rPr>
        <w:t>fluorometry; calcium flux; ELISA.</w:t>
      </w:r>
    </w:p>
    <w:p w14:paraId="3FF578F4" w14:textId="77777777" w:rsidR="00C110CE" w:rsidRPr="003F0280" w:rsidRDefault="00C110CE" w:rsidP="00C110CE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472E1237" w14:textId="289E2FFA" w:rsidR="00C110CE" w:rsidRPr="003F0280" w:rsidRDefault="00C110CE" w:rsidP="00C110CE">
      <w:pPr>
        <w:shd w:val="clear" w:color="auto" w:fill="FFFFFF"/>
        <w:rPr>
          <w:rFonts w:ascii="Arial" w:hAnsi="Arial" w:cs="Arial"/>
          <w:bCs/>
          <w:sz w:val="20"/>
          <w:szCs w:val="20"/>
          <w:lang w:val="en-GB"/>
        </w:rPr>
      </w:pPr>
      <w:r w:rsidRPr="003F0280">
        <w:rPr>
          <w:rFonts w:ascii="Arial" w:hAnsi="Arial" w:cs="Arial"/>
          <w:b/>
          <w:bCs/>
          <w:color w:val="231F20"/>
          <w:sz w:val="20"/>
          <w:szCs w:val="20"/>
        </w:rPr>
        <w:t>Results:</w:t>
      </w:r>
      <w:r w:rsidR="0092593D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Pr="003F0280">
        <w:rPr>
          <w:rFonts w:ascii="Arial" w:hAnsi="Arial" w:cs="Arial"/>
          <w:sz w:val="20"/>
          <w:szCs w:val="20"/>
        </w:rPr>
        <w:t>The elderly had higher basal platelet activation than the young, evidenced by increased expression of P-selectin, CD63 and PAC-1, which correlated with increasing inflammation (interleukin-1β). The elderly demonstrated higher</w:t>
      </w:r>
      <w:r w:rsidRPr="003F0280">
        <w:rPr>
          <w:rFonts w:ascii="Arial" w:eastAsia="MS Mincho" w:hAnsi="Arial" w:cs="Arial"/>
          <w:sz w:val="20"/>
          <w:szCs w:val="20"/>
        </w:rPr>
        <w:t xml:space="preserve"> P2Y</w:t>
      </w:r>
      <w:r w:rsidRPr="003F0280">
        <w:rPr>
          <w:rFonts w:ascii="Arial" w:eastAsia="MS Mincho" w:hAnsi="Arial" w:cs="Arial"/>
          <w:sz w:val="20"/>
          <w:szCs w:val="20"/>
          <w:vertAlign w:val="subscript"/>
        </w:rPr>
        <w:t>12</w:t>
      </w:r>
      <w:r w:rsidRPr="003F0280">
        <w:rPr>
          <w:rFonts w:ascii="Arial" w:eastAsia="MS Mincho" w:hAnsi="Arial" w:cs="Arial"/>
          <w:sz w:val="20"/>
          <w:szCs w:val="20"/>
        </w:rPr>
        <w:t xml:space="preserve"> receptor density,</w:t>
      </w:r>
      <w:r w:rsidRPr="003F0280">
        <w:rPr>
          <w:rFonts w:ascii="Arial" w:hAnsi="Arial" w:cs="Arial"/>
          <w:sz w:val="20"/>
          <w:szCs w:val="20"/>
        </w:rPr>
        <w:t xml:space="preserve"> greater ADP-induced platelet aggregation and lower stored intracellular ADP (all p&lt;0.05). However, elderly subjects were resistant to thrombin, achieving less activation in response to thrombin (higher EC</w:t>
      </w:r>
      <w:r w:rsidRPr="003F0280">
        <w:rPr>
          <w:rFonts w:ascii="Arial" w:hAnsi="Arial" w:cs="Arial"/>
          <w:sz w:val="20"/>
          <w:szCs w:val="20"/>
          <w:vertAlign w:val="subscript"/>
        </w:rPr>
        <w:t>50</w:t>
      </w:r>
      <w:r w:rsidRPr="003F0280">
        <w:rPr>
          <w:rFonts w:ascii="Arial" w:hAnsi="Arial" w:cs="Arial"/>
          <w:sz w:val="20"/>
          <w:szCs w:val="20"/>
        </w:rPr>
        <w:t xml:space="preserve">) and to selective stimulation of both PAR-1 and PAR-4, with higher basal PAR-1 and PAR-4 receptor cleavage and less inducible PAR-1 and PAR-4 cleavage (all p&lt;0.05). Thrombin resistance was attributable to a combination of reduced thrombin orienting receptor GPIbα, reduced secondary ADP contribution to thrombin-mediated activation and blunted calcium flux. D-Dimer, a marker of </w:t>
      </w:r>
      <w:r w:rsidRPr="003F0280">
        <w:rPr>
          <w:rFonts w:ascii="Arial" w:hAnsi="Arial" w:cs="Arial"/>
          <w:i/>
          <w:sz w:val="20"/>
          <w:szCs w:val="20"/>
        </w:rPr>
        <w:t>in-situ</w:t>
      </w:r>
      <w:r w:rsidRPr="003F0280">
        <w:rPr>
          <w:rFonts w:ascii="Arial" w:hAnsi="Arial" w:cs="Arial"/>
          <w:sz w:val="20"/>
          <w:szCs w:val="20"/>
        </w:rPr>
        <w:t xml:space="preserve"> thrombin generation, correlated</w:t>
      </w:r>
      <w:r w:rsidRPr="003F0280">
        <w:rPr>
          <w:rFonts w:ascii="Arial" w:hAnsi="Arial" w:cs="Arial"/>
          <w:bCs/>
          <w:sz w:val="20"/>
          <w:szCs w:val="20"/>
        </w:rPr>
        <w:t xml:space="preserve"> with platelet activation in the circulation, </w:t>
      </w:r>
      <w:r w:rsidRPr="003F0280">
        <w:rPr>
          <w:rFonts w:ascii="Arial" w:hAnsi="Arial" w:cs="Arial"/>
          <w:bCs/>
          <w:i/>
          <w:sz w:val="20"/>
          <w:szCs w:val="20"/>
        </w:rPr>
        <w:t>ex-vivo</w:t>
      </w:r>
      <w:r w:rsidRPr="003F0280">
        <w:rPr>
          <w:rFonts w:ascii="Arial" w:hAnsi="Arial" w:cs="Arial"/>
          <w:bCs/>
          <w:sz w:val="20"/>
          <w:szCs w:val="20"/>
        </w:rPr>
        <w:t xml:space="preserve"> thrombin resistance and circulating inflammatory mediators (TNF-α)</w:t>
      </w:r>
      <w:r w:rsidRPr="003F0280">
        <w:rPr>
          <w:rFonts w:ascii="Arial" w:hAnsi="Arial" w:cs="Arial"/>
          <w:sz w:val="20"/>
          <w:szCs w:val="20"/>
        </w:rPr>
        <w:t>.</w:t>
      </w:r>
    </w:p>
    <w:p w14:paraId="4D7D9F32" w14:textId="77777777" w:rsidR="00C110CE" w:rsidRPr="003F0280" w:rsidRDefault="00C110CE" w:rsidP="00C110CE">
      <w:pPr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67512B7C" w14:textId="31B1C1E3" w:rsidR="00C110CE" w:rsidRPr="003F0280" w:rsidRDefault="00C110CE" w:rsidP="00C110CE">
      <w:pPr>
        <w:rPr>
          <w:rFonts w:ascii="Arial" w:hAnsi="Arial" w:cs="Arial"/>
          <w:b/>
          <w:bCs/>
          <w:color w:val="231F20"/>
          <w:sz w:val="20"/>
          <w:szCs w:val="20"/>
        </w:rPr>
      </w:pPr>
      <w:r w:rsidRPr="003F0280">
        <w:rPr>
          <w:rFonts w:ascii="Arial" w:hAnsi="Arial" w:cs="Arial"/>
          <w:b/>
          <w:bCs/>
          <w:color w:val="231F20"/>
          <w:sz w:val="20"/>
          <w:szCs w:val="20"/>
        </w:rPr>
        <w:t>Conclusion:</w:t>
      </w:r>
      <w:r w:rsidR="0092593D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Pr="003F0280">
        <w:rPr>
          <w:rFonts w:ascii="Arial" w:hAnsi="Arial" w:cs="Arial"/>
          <w:color w:val="231F20"/>
          <w:sz w:val="20"/>
          <w:szCs w:val="20"/>
          <w:shd w:val="clear" w:color="auto" w:fill="FFFFFF"/>
        </w:rPr>
        <w:t>A</w:t>
      </w:r>
      <w:r w:rsidRPr="003F0280">
        <w:rPr>
          <w:rFonts w:ascii="Arial" w:hAnsi="Arial" w:cs="Arial"/>
          <w:bCs/>
          <w:sz w:val="20"/>
          <w:szCs w:val="20"/>
        </w:rPr>
        <w:t xml:space="preserve">geing is associated with a distinctive platelet phenotype of increased basal activation, ADP hyperreactivity and </w:t>
      </w:r>
      <w:r w:rsidRPr="003F0280">
        <w:rPr>
          <w:rFonts w:ascii="Arial" w:hAnsi="Arial" w:cs="Arial"/>
          <w:sz w:val="20"/>
          <w:szCs w:val="20"/>
        </w:rPr>
        <w:t xml:space="preserve">thrombin resistance. </w:t>
      </w:r>
      <w:r w:rsidRPr="003F0280">
        <w:rPr>
          <w:rFonts w:ascii="Arial" w:hAnsi="Arial" w:cs="Arial"/>
          <w:i/>
          <w:iCs/>
          <w:sz w:val="20"/>
          <w:szCs w:val="20"/>
        </w:rPr>
        <w:t>In-situ</w:t>
      </w:r>
      <w:r w:rsidRPr="003F0280">
        <w:rPr>
          <w:rFonts w:ascii="Arial" w:hAnsi="Arial" w:cs="Arial"/>
          <w:sz w:val="20"/>
          <w:szCs w:val="20"/>
        </w:rPr>
        <w:t xml:space="preserve"> thrombin generation associated with systemic inflammation may be a novel target to prevent and treat CVD in the elderly.</w:t>
      </w:r>
    </w:p>
    <w:p w14:paraId="2FFE2A96" w14:textId="77777777" w:rsidR="00C110CE" w:rsidRPr="003F0280" w:rsidRDefault="00C110CE" w:rsidP="00C110CE">
      <w:pPr>
        <w:shd w:val="clear" w:color="auto" w:fill="FFFFFF"/>
        <w:jc w:val="both"/>
        <w:rPr>
          <w:rFonts w:ascii="Arial" w:hAnsi="Arial" w:cs="Arial"/>
          <w:noProof/>
          <w:sz w:val="20"/>
          <w:szCs w:val="20"/>
        </w:rPr>
        <w:sectPr w:rsidR="00C110CE" w:rsidRPr="003F0280">
          <w:pgSz w:w="12240" w:h="15840"/>
          <w:pgMar w:top="1133" w:right="850" w:bottom="1133" w:left="1700" w:header="708" w:footer="708" w:gutter="0"/>
          <w:cols w:space="720"/>
        </w:sectPr>
      </w:pPr>
      <w:r w:rsidRPr="003F028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4B47D9B" wp14:editId="5B43773A">
            <wp:extent cx="6273800" cy="3276600"/>
            <wp:effectExtent l="0" t="0" r="0" b="0"/>
            <wp:docPr id="38" name="Picture 3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 dpi="0">
                    <a:blip r:embed="rId4"/>
                    <a:srcRect b="2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770" cy="328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B9938" w14:textId="77777777" w:rsidR="004514A6" w:rsidRDefault="004514A6" w:rsidP="006A26C0">
      <w:pPr>
        <w:pStyle w:val="AbstractBookPaperTitle"/>
        <w:spacing w:after="0"/>
      </w:pPr>
    </w:p>
    <w:sectPr w:rsidR="004514A6" w:rsidSect="006A26C0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CE"/>
    <w:rsid w:val="00445A0E"/>
    <w:rsid w:val="004514A6"/>
    <w:rsid w:val="006A26C0"/>
    <w:rsid w:val="0092593D"/>
    <w:rsid w:val="00C110CE"/>
    <w:rsid w:val="00ED4DA0"/>
    <w:rsid w:val="00F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813A"/>
  <w15:chartTrackingRefBased/>
  <w15:docId w15:val="{48CA291A-FFA8-4B1E-8C3D-21D53285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0CE"/>
    <w:pPr>
      <w:spacing w:line="240" w:lineRule="auto"/>
    </w:pPr>
    <w:rPr>
      <w:rFonts w:asciiTheme="minorHAnsi" w:eastAsiaTheme="minorEastAsia" w:hAnsiTheme="minorHAns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BookPaperTitle">
    <w:name w:val="Abstract Book Paper Title"/>
    <w:basedOn w:val="Normal"/>
    <w:rsid w:val="00C110CE"/>
    <w:pPr>
      <w:spacing w:after="144"/>
    </w:pPr>
    <w:rPr>
      <w:sz w:val="32"/>
    </w:rPr>
  </w:style>
  <w:style w:type="paragraph" w:customStyle="1" w:styleId="AbstractBookAuthors">
    <w:name w:val="Abstract Book Authors"/>
    <w:basedOn w:val="Normal"/>
    <w:rsid w:val="00C110CE"/>
    <w:rPr>
      <w:rFonts w:ascii="Calibri Light" w:hAnsi="Calibri Light"/>
    </w:rPr>
  </w:style>
  <w:style w:type="character" w:customStyle="1" w:styleId="AbstractBookPresentingAuthor">
    <w:name w:val="Abstract Book Presenting Author"/>
    <w:basedOn w:val="DefaultParagraphFont"/>
    <w:rsid w:val="00C110CE"/>
    <w:rPr>
      <w:rFonts w:ascii="Calibri Light" w:hAnsi="Calibri Light"/>
      <w:b/>
      <w:vanish w:val="0"/>
      <w:u w:val="single"/>
    </w:rPr>
  </w:style>
  <w:style w:type="paragraph" w:customStyle="1" w:styleId="AbstractBookBaseParagraph">
    <w:name w:val="Abstract Book Base Paragraph"/>
    <w:basedOn w:val="Normal"/>
    <w:rsid w:val="00C110CE"/>
  </w:style>
  <w:style w:type="paragraph" w:customStyle="1" w:styleId="AbstractBookAffiliations">
    <w:name w:val="Abstract Book Affiliations"/>
    <w:basedOn w:val="AbstractBookBaseParagraph"/>
    <w:rsid w:val="00C110CE"/>
    <w:pPr>
      <w:spacing w:after="144"/>
    </w:pPr>
    <w:rPr>
      <w:rFonts w:ascii="Calibri Light" w:hAnsi="Calibri Light"/>
      <w:i/>
      <w:sz w:val="20"/>
    </w:rPr>
  </w:style>
  <w:style w:type="character" w:styleId="CommentReference">
    <w:name w:val="annotation reference"/>
    <w:basedOn w:val="DefaultParagraphFont"/>
    <w:rsid w:val="00C110CE"/>
    <w:rPr>
      <w:rFonts w:eastAsiaTheme="minorHAnsi"/>
      <w:sz w:val="16"/>
      <w:szCs w:val="16"/>
    </w:rPr>
  </w:style>
  <w:style w:type="table" w:styleId="TableGrid">
    <w:name w:val="Table Grid"/>
    <w:basedOn w:val="TableNormal"/>
    <w:uiPriority w:val="59"/>
    <w:rsid w:val="00C110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2385</Characters>
  <Application>Microsoft Office Word</Application>
  <DocSecurity>0</DocSecurity>
  <Lines>198</Lines>
  <Paragraphs>58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Aro</dc:creator>
  <cp:keywords/>
  <dc:description/>
  <cp:lastModifiedBy>Megan Sarson</cp:lastModifiedBy>
  <cp:revision>3</cp:revision>
  <dcterms:created xsi:type="dcterms:W3CDTF">2021-09-30T03:31:00Z</dcterms:created>
  <dcterms:modified xsi:type="dcterms:W3CDTF">2021-09-30T05:04:00Z</dcterms:modified>
</cp:coreProperties>
</file>