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D198" w14:textId="77777777" w:rsidR="000E7CCF" w:rsidRDefault="00CD119B" w:rsidP="00E21AF6">
      <w:pPr>
        <w:jc w:val="both"/>
        <w:rPr>
          <w:rFonts w:ascii="Arial" w:hAnsi="Arial" w:cs="Arial"/>
          <w:b/>
          <w:bCs/>
        </w:rPr>
      </w:pPr>
      <w:r w:rsidRPr="00E21AF6">
        <w:rPr>
          <w:rFonts w:ascii="Arial" w:hAnsi="Arial" w:cs="Arial"/>
          <w:b/>
          <w:bCs/>
        </w:rPr>
        <w:t>Title</w:t>
      </w:r>
      <w:r w:rsidR="00EE1B49" w:rsidRPr="00E21AF6">
        <w:rPr>
          <w:rFonts w:ascii="Arial" w:hAnsi="Arial" w:cs="Arial"/>
          <w:b/>
          <w:bCs/>
        </w:rPr>
        <w:t>:</w:t>
      </w:r>
      <w:r w:rsidR="00497A7D" w:rsidRPr="00E21AF6">
        <w:rPr>
          <w:rFonts w:ascii="Arial" w:hAnsi="Arial" w:cs="Arial"/>
          <w:b/>
          <w:bCs/>
        </w:rPr>
        <w:t xml:space="preserve"> </w:t>
      </w:r>
    </w:p>
    <w:p w14:paraId="2F3E5F79" w14:textId="0CFFB5B6" w:rsidR="004E5B2F" w:rsidRPr="00E21AF6" w:rsidRDefault="00F501DC" w:rsidP="00E21AF6">
      <w:pPr>
        <w:jc w:val="both"/>
        <w:rPr>
          <w:rFonts w:ascii="Arial" w:hAnsi="Arial" w:cs="Arial"/>
          <w:color w:val="231F20"/>
        </w:rPr>
      </w:pPr>
      <w:r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 xml:space="preserve">Platelet </w:t>
      </w:r>
      <w:r w:rsidR="00622704"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 xml:space="preserve">receptor levels can differentiate </w:t>
      </w:r>
      <w:r w:rsidR="00D64A05" w:rsidRPr="00E21AF6"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>patients with</w:t>
      </w:r>
      <w:bookmarkStart w:id="0" w:name="OLE_LINK1"/>
      <w:r w:rsidR="00451572"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 xml:space="preserve"> </w:t>
      </w:r>
      <w:r w:rsidR="00622704"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 xml:space="preserve">ITP or isolated </w:t>
      </w:r>
      <w:r w:rsidR="001A4BE2" w:rsidRPr="00E21AF6">
        <w:rPr>
          <w:rStyle w:val="normaltextrun"/>
          <w:rFonts w:ascii="Arial" w:hAnsi="Arial" w:cs="Arial"/>
          <w:bCs/>
          <w:color w:val="000000"/>
          <w:shd w:val="clear" w:color="auto" w:fill="FFFFFF"/>
          <w:lang w:val="en-US"/>
        </w:rPr>
        <w:t>thrombocytopenia</w:t>
      </w:r>
    </w:p>
    <w:bookmarkEnd w:id="0"/>
    <w:p w14:paraId="78956B8D" w14:textId="43B268AF" w:rsidR="004E5B2F" w:rsidRPr="00E21AF6" w:rsidRDefault="004E5B2F" w:rsidP="00E21AF6">
      <w:pPr>
        <w:jc w:val="both"/>
        <w:rPr>
          <w:rFonts w:ascii="Arial" w:hAnsi="Arial" w:cs="Arial"/>
          <w:b/>
          <w:bCs/>
          <w:color w:val="231F20"/>
        </w:rPr>
      </w:pPr>
      <w:r w:rsidRPr="00E21AF6">
        <w:rPr>
          <w:rFonts w:ascii="Arial" w:hAnsi="Arial" w:cs="Arial"/>
          <w:b/>
          <w:bCs/>
          <w:color w:val="231F20"/>
        </w:rPr>
        <w:t>Aim: </w:t>
      </w:r>
    </w:p>
    <w:p w14:paraId="411FC56A" w14:textId="6A32EC50" w:rsidR="00E21AF6" w:rsidRPr="00E21AF6" w:rsidRDefault="00E21AF6" w:rsidP="00E21AF6">
      <w:pPr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</w:pP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Platelet count </w:t>
      </w:r>
      <w:r w:rsidR="000009C7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remains the 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key diagnostic </w:t>
      </w:r>
      <w:r w:rsidR="00916181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criteria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for immun</w:t>
      </w:r>
      <w:r w:rsidR="00916181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 </w:t>
      </w:r>
      <w:r w:rsidR="004C64A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thrombocytopenia</w:t>
      </w:r>
      <w:r w:rsidR="00747F9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(ITP)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however often p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atients present with severe thrombocytopenia, making platelet</w:t>
      </w:r>
      <w:r w:rsidR="00F501D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functional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assessment difficult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. </w:t>
      </w:r>
      <w:r w:rsidR="0051371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F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low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-</w:t>
      </w:r>
      <w:r w:rsidR="00FC6D13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cyto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metric analysis</w:t>
      </w:r>
      <w:r w:rsidR="006320E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of </w:t>
      </w:r>
      <w:r w:rsidR="0051371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platelet </w:t>
      </w:r>
      <w:proofErr w:type="spellStart"/>
      <w:r w:rsidR="006320E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adheso-signalling</w:t>
      </w:r>
      <w:proofErr w:type="spellEnd"/>
      <w:r w:rsidR="006320EE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receptor</w:t>
      </w:r>
      <w:r w:rsidR="00C44753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levels and function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C45FC5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is a powerful tool in the setting of thrombocytopenia which 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may</w:t>
      </w:r>
      <w:r w:rsidR="005B1EC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provide valuable information</w:t>
      </w:r>
      <w:r w:rsidR="00513718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about bleeding propensity and </w:t>
      </w:r>
      <w:r w:rsidR="00C44753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treatment responses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. </w:t>
      </w:r>
      <w:r w:rsidR="00E0557F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We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916181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compared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levels of platelet </w:t>
      </w:r>
      <w:r w:rsidR="00427385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surface proteins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916181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and</w:t>
      </w:r>
      <w:r w:rsidR="00C11B3D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platelet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function in patients</w:t>
      </w:r>
      <w:r w:rsidR="00C11B3D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diagnosed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with primary ITP </w:t>
      </w:r>
      <w:r w:rsidR="00916181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against </w:t>
      </w:r>
      <w:r w:rsidR="0076003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patients with</w:t>
      </w:r>
      <w:r w:rsidR="00AF72F3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thrombocytopenia</w:t>
      </w:r>
      <w:r w:rsidRPr="00E21AF6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due to other causes (non-ITP).</w:t>
      </w:r>
    </w:p>
    <w:p w14:paraId="595A4BB0" w14:textId="51A1A40F" w:rsidR="004E5B2F" w:rsidRPr="00E21AF6" w:rsidRDefault="004E5B2F" w:rsidP="00E21AF6">
      <w:pPr>
        <w:jc w:val="both"/>
        <w:rPr>
          <w:rFonts w:ascii="Arial" w:hAnsi="Arial" w:cs="Arial"/>
          <w:b/>
          <w:bCs/>
          <w:color w:val="231F20"/>
        </w:rPr>
      </w:pPr>
      <w:r w:rsidRPr="00E21AF6">
        <w:rPr>
          <w:rFonts w:ascii="Arial" w:hAnsi="Arial" w:cs="Arial"/>
          <w:b/>
          <w:bCs/>
          <w:color w:val="231F20"/>
        </w:rPr>
        <w:t>Method: </w:t>
      </w:r>
    </w:p>
    <w:p w14:paraId="3DB120F2" w14:textId="12287F58" w:rsidR="00131516" w:rsidRPr="00E21AF6" w:rsidRDefault="00131516" w:rsidP="00E21AF6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>A single-</w:t>
      </w:r>
      <w:r w:rsidR="009F54D0" w:rsidRPr="00E21AF6">
        <w:rPr>
          <w:rStyle w:val="eop"/>
          <w:rFonts w:ascii="Arial" w:hAnsi="Arial" w:cs="Arial"/>
          <w:color w:val="000000"/>
          <w:shd w:val="clear" w:color="auto" w:fill="FFFFFF"/>
        </w:rPr>
        <w:t>centre</w:t>
      </w:r>
      <w:r w:rsidR="00C11B3D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>study was conducted</w:t>
      </w:r>
      <w:r w:rsidR="00622704" w:rsidRPr="00622704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>on</w:t>
      </w:r>
      <w:r w:rsidR="005C5BB3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0020B6">
        <w:rPr>
          <w:rStyle w:val="eop"/>
          <w:rFonts w:ascii="Arial" w:hAnsi="Arial" w:cs="Arial"/>
          <w:color w:val="000000"/>
          <w:shd w:val="clear" w:color="auto" w:fill="FFFFFF"/>
        </w:rPr>
        <w:t>74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76003C">
        <w:rPr>
          <w:rStyle w:val="eop"/>
          <w:rFonts w:ascii="Arial" w:hAnsi="Arial" w:cs="Arial"/>
          <w:color w:val="000000"/>
          <w:shd w:val="clear" w:color="auto" w:fill="FFFFFF"/>
        </w:rPr>
        <w:t>cases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C11B3D">
        <w:rPr>
          <w:rStyle w:val="eop"/>
          <w:rFonts w:ascii="Arial" w:hAnsi="Arial" w:cs="Arial"/>
          <w:color w:val="000000"/>
          <w:shd w:val="clear" w:color="auto" w:fill="FFFFFF"/>
        </w:rPr>
        <w:t>with platelet counts below 100 x 10</w:t>
      </w:r>
      <w:r w:rsidR="00C11B3D" w:rsidRPr="00C11B3D">
        <w:rPr>
          <w:rStyle w:val="eop"/>
          <w:rFonts w:ascii="Arial" w:hAnsi="Arial" w:cs="Arial"/>
          <w:color w:val="000000"/>
          <w:shd w:val="clear" w:color="auto" w:fill="FFFFFF"/>
          <w:vertAlign w:val="superscript"/>
        </w:rPr>
        <w:t>9</w:t>
      </w:r>
      <w:r w:rsidR="00C11B3D">
        <w:rPr>
          <w:rStyle w:val="eop"/>
          <w:rFonts w:ascii="Arial" w:hAnsi="Arial" w:cs="Arial"/>
          <w:color w:val="000000"/>
          <w:shd w:val="clear" w:color="auto" w:fill="FFFFFF"/>
        </w:rPr>
        <w:t>/L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. Patient data </w:t>
      </w:r>
      <w:r w:rsidR="004561A4">
        <w:rPr>
          <w:rStyle w:val="eop"/>
          <w:rFonts w:ascii="Arial" w:hAnsi="Arial" w:cs="Arial"/>
          <w:color w:val="000000"/>
          <w:shd w:val="clear" w:color="auto" w:fill="FFFFFF"/>
        </w:rPr>
        <w:t>were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 compared to healthy controls acquired contemporaneously. Whole blood cell counts, rotational </w:t>
      </w:r>
      <w:proofErr w:type="spellStart"/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>thromboelastometry</w:t>
      </w:r>
      <w:proofErr w:type="spellEnd"/>
      <w:r w:rsidR="00747F96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(ROTEM), platelet receptor quantification, and </w:t>
      </w:r>
      <w:r w:rsidR="008073A2" w:rsidRPr="008073A2">
        <w:rPr>
          <w:rStyle w:val="eop"/>
          <w:rFonts w:ascii="Symbol" w:hAnsi="Symbol" w:cs="Arial"/>
          <w:color w:val="000000"/>
          <w:shd w:val="clear" w:color="auto" w:fill="FFFFFF"/>
        </w:rPr>
        <w:t>a</w:t>
      </w:r>
      <w:r w:rsidR="008073A2">
        <w:rPr>
          <w:rStyle w:val="eop"/>
          <w:rFonts w:ascii="Arial" w:hAnsi="Arial" w:cs="Arial"/>
          <w:color w:val="000000"/>
          <w:shd w:val="clear" w:color="auto" w:fill="FFFFFF"/>
        </w:rPr>
        <w:t>IIb</w:t>
      </w:r>
      <w:r w:rsidR="008073A2" w:rsidRPr="008073A2">
        <w:rPr>
          <w:rStyle w:val="eop"/>
          <w:rFonts w:ascii="Symbol" w:hAnsi="Symbol" w:cs="Arial"/>
          <w:color w:val="000000"/>
          <w:shd w:val="clear" w:color="auto" w:fill="FFFFFF"/>
        </w:rPr>
        <w:t>b</w:t>
      </w:r>
      <w:r w:rsidR="008073A2">
        <w:rPr>
          <w:rStyle w:val="eop"/>
          <w:rFonts w:ascii="Arial" w:hAnsi="Arial" w:cs="Arial"/>
          <w:color w:val="000000"/>
          <w:shd w:val="clear" w:color="auto" w:fill="FFFFFF"/>
        </w:rPr>
        <w:t>3</w:t>
      </w:r>
      <w:r w:rsidR="00FA0C46">
        <w:rPr>
          <w:rStyle w:val="eop"/>
          <w:rFonts w:ascii="Arial" w:hAnsi="Arial" w:cs="Arial"/>
          <w:color w:val="000000"/>
          <w:shd w:val="clear" w:color="auto" w:fill="FFFFFF"/>
        </w:rPr>
        <w:t>-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>activation</w:t>
      </w:r>
      <w:r w:rsidR="00C11B3D">
        <w:rPr>
          <w:rStyle w:val="eop"/>
          <w:rFonts w:ascii="Arial" w:hAnsi="Arial" w:cs="Arial"/>
          <w:color w:val="000000"/>
          <w:shd w:val="clear" w:color="auto" w:fill="FFFFFF"/>
        </w:rPr>
        <w:t xml:space="preserve"> assays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 were pe</w:t>
      </w:r>
      <w:r w:rsidR="004C64AE">
        <w:rPr>
          <w:rStyle w:val="eop"/>
          <w:rFonts w:ascii="Arial" w:hAnsi="Arial" w:cs="Arial"/>
          <w:color w:val="000000"/>
          <w:shd w:val="clear" w:color="auto" w:fill="FFFFFF"/>
        </w:rPr>
        <w:t xml:space="preserve">rformed </w:t>
      </w:r>
      <w:r w:rsidR="00C11B3D">
        <w:rPr>
          <w:rStyle w:val="eop"/>
          <w:rFonts w:ascii="Arial" w:hAnsi="Arial" w:cs="Arial"/>
          <w:color w:val="000000"/>
          <w:shd w:val="clear" w:color="auto" w:fill="FFFFFF"/>
        </w:rPr>
        <w:t>using citrate- or EDTA-</w:t>
      </w:r>
      <w:r w:rsidR="004C64AE">
        <w:rPr>
          <w:rStyle w:val="eop"/>
          <w:rFonts w:ascii="Arial" w:hAnsi="Arial" w:cs="Arial"/>
          <w:color w:val="000000"/>
          <w:shd w:val="clear" w:color="auto" w:fill="FFFFFF"/>
        </w:rPr>
        <w:t xml:space="preserve">anticoagulated </w:t>
      </w:r>
      <w:r w:rsidRPr="00E21AF6">
        <w:rPr>
          <w:rStyle w:val="eop"/>
          <w:rFonts w:ascii="Arial" w:hAnsi="Arial" w:cs="Arial"/>
          <w:color w:val="000000"/>
          <w:shd w:val="clear" w:color="auto" w:fill="FFFFFF"/>
        </w:rPr>
        <w:t xml:space="preserve">blood. </w:t>
      </w:r>
    </w:p>
    <w:p w14:paraId="108BE2D3" w14:textId="02D19797" w:rsidR="004E5B2F" w:rsidRPr="00E21AF6" w:rsidRDefault="004E5B2F" w:rsidP="00E21AF6">
      <w:pPr>
        <w:jc w:val="both"/>
        <w:rPr>
          <w:rFonts w:ascii="Arial" w:hAnsi="Arial" w:cs="Arial"/>
          <w:b/>
          <w:bCs/>
          <w:color w:val="231F20"/>
        </w:rPr>
      </w:pPr>
      <w:r w:rsidRPr="00E21AF6">
        <w:rPr>
          <w:rFonts w:ascii="Arial" w:hAnsi="Arial" w:cs="Arial"/>
          <w:b/>
          <w:bCs/>
          <w:color w:val="231F20"/>
        </w:rPr>
        <w:t>Results: </w:t>
      </w:r>
    </w:p>
    <w:p w14:paraId="2F722509" w14:textId="00D5A998" w:rsidR="00C33630" w:rsidRDefault="00C8545F" w:rsidP="00E21AF6">
      <w:pPr>
        <w:jc w:val="both"/>
        <w:rPr>
          <w:rFonts w:ascii="Arial" w:hAnsi="Arial" w:cs="Arial"/>
          <w:color w:val="231F20"/>
          <w:shd w:val="clear" w:color="auto" w:fill="FFFFFF"/>
        </w:rPr>
      </w:pPr>
      <w:r>
        <w:rPr>
          <w:rFonts w:ascii="Arial" w:hAnsi="Arial" w:cs="Arial"/>
          <w:color w:val="231F20"/>
          <w:shd w:val="clear" w:color="auto" w:fill="FFFFFF"/>
        </w:rPr>
        <w:t>B</w:t>
      </w:r>
      <w:r w:rsidRPr="00C33630">
        <w:rPr>
          <w:rFonts w:ascii="Arial" w:hAnsi="Arial" w:cs="Arial"/>
          <w:color w:val="231F20"/>
          <w:shd w:val="clear" w:color="auto" w:fill="FFFFFF"/>
        </w:rPr>
        <w:t>oth ITP</w:t>
      </w:r>
      <w:r>
        <w:rPr>
          <w:rFonts w:ascii="Arial" w:hAnsi="Arial" w:cs="Arial"/>
          <w:color w:val="231F20"/>
          <w:shd w:val="clear" w:color="auto" w:fill="FFFFFF"/>
        </w:rPr>
        <w:t xml:space="preserve"> and </w:t>
      </w:r>
      <w:r w:rsidRPr="00C33630">
        <w:rPr>
          <w:rFonts w:ascii="Arial" w:hAnsi="Arial" w:cs="Arial"/>
          <w:color w:val="231F20"/>
          <w:shd w:val="clear" w:color="auto" w:fill="FFFFFF"/>
        </w:rPr>
        <w:t xml:space="preserve">non-ITP patient groups exhibited reduced levels of </w:t>
      </w:r>
      <w:proofErr w:type="spellStart"/>
      <w:r w:rsidRPr="00C33630">
        <w:rPr>
          <w:rFonts w:ascii="Arial" w:hAnsi="Arial" w:cs="Arial"/>
          <w:color w:val="231F20"/>
          <w:shd w:val="clear" w:color="auto" w:fill="FFFFFF"/>
        </w:rPr>
        <w:t>adheso</w:t>
      </w:r>
      <w:proofErr w:type="spellEnd"/>
      <w:r w:rsidRPr="00C33630">
        <w:rPr>
          <w:rFonts w:ascii="Arial" w:hAnsi="Arial" w:cs="Arial"/>
          <w:color w:val="231F20"/>
          <w:shd w:val="clear" w:color="auto" w:fill="FFFFFF"/>
        </w:rPr>
        <w:t xml:space="preserve">-signalling receptors </w:t>
      </w:r>
      <w:proofErr w:type="spellStart"/>
      <w:r w:rsidRPr="00C33630">
        <w:rPr>
          <w:rFonts w:ascii="Arial" w:hAnsi="Arial" w:cs="Arial"/>
          <w:color w:val="231F20"/>
          <w:shd w:val="clear" w:color="auto" w:fill="FFFFFF"/>
        </w:rPr>
        <w:t>GPIb</w:t>
      </w:r>
      <w:proofErr w:type="spellEnd"/>
      <w:r w:rsidRPr="00C33630">
        <w:rPr>
          <w:rFonts w:ascii="Arial" w:hAnsi="Arial" w:cs="Arial"/>
          <w:color w:val="231F20"/>
          <w:shd w:val="clear" w:color="auto" w:fill="FFFFFF"/>
        </w:rPr>
        <w:t>α</w:t>
      </w:r>
      <w:r>
        <w:rPr>
          <w:rFonts w:ascii="Arial" w:hAnsi="Arial" w:cs="Arial"/>
          <w:color w:val="231F20"/>
          <w:shd w:val="clear" w:color="auto" w:fill="FFFFFF"/>
        </w:rPr>
        <w:t xml:space="preserve"> (p=</w:t>
      </w:r>
      <w:r w:rsidRPr="00C33630">
        <w:rPr>
          <w:rFonts w:ascii="Arial" w:hAnsi="Arial" w:cs="Arial"/>
          <w:color w:val="231F20"/>
          <w:shd w:val="clear" w:color="auto" w:fill="FFFFFF"/>
        </w:rPr>
        <w:t>0.0008</w:t>
      </w:r>
      <w:r>
        <w:rPr>
          <w:rFonts w:ascii="Arial" w:hAnsi="Arial" w:cs="Arial"/>
          <w:color w:val="231F20"/>
          <w:shd w:val="clear" w:color="auto" w:fill="FFFFFF"/>
        </w:rPr>
        <w:t xml:space="preserve">; </w:t>
      </w:r>
      <w:r w:rsidRPr="00C33630">
        <w:rPr>
          <w:rFonts w:ascii="Arial" w:hAnsi="Arial" w:cs="Arial"/>
          <w:color w:val="231F20"/>
          <w:shd w:val="clear" w:color="auto" w:fill="FFFFFF"/>
        </w:rPr>
        <w:t>0.0142</w:t>
      </w:r>
      <w:r>
        <w:rPr>
          <w:rFonts w:ascii="Arial" w:hAnsi="Arial" w:cs="Arial"/>
          <w:color w:val="231F20"/>
          <w:shd w:val="clear" w:color="auto" w:fill="FFFFFF"/>
        </w:rPr>
        <w:t xml:space="preserve"> respectively</w:t>
      </w:r>
      <w:r w:rsidRPr="00C33630">
        <w:rPr>
          <w:rFonts w:ascii="Arial" w:hAnsi="Arial" w:cs="Arial"/>
          <w:color w:val="231F20"/>
          <w:shd w:val="clear" w:color="auto" w:fill="FFFFFF"/>
        </w:rPr>
        <w:t>), GPVI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C33630">
        <w:rPr>
          <w:rFonts w:ascii="Arial" w:hAnsi="Arial" w:cs="Arial"/>
          <w:color w:val="231F20"/>
          <w:shd w:val="clear" w:color="auto" w:fill="FFFFFF"/>
        </w:rPr>
        <w:t>(</w:t>
      </w:r>
      <w:r>
        <w:rPr>
          <w:rFonts w:ascii="Arial" w:hAnsi="Arial" w:cs="Arial"/>
          <w:color w:val="231F20"/>
          <w:shd w:val="clear" w:color="auto" w:fill="FFFFFF"/>
        </w:rPr>
        <w:t>p=</w:t>
      </w:r>
      <w:r w:rsidRPr="00C33630">
        <w:rPr>
          <w:rFonts w:ascii="Arial" w:hAnsi="Arial" w:cs="Arial"/>
          <w:color w:val="231F20"/>
          <w:shd w:val="clear" w:color="auto" w:fill="FFFFFF"/>
        </w:rPr>
        <w:t xml:space="preserve">0.0007, &lt;0.0001) and </w:t>
      </w:r>
      <w:r>
        <w:rPr>
          <w:rFonts w:ascii="Symbol" w:hAnsi="Symbol" w:cs="Arial"/>
          <w:color w:val="231F20"/>
          <w:shd w:val="clear" w:color="auto" w:fill="FFFFFF"/>
        </w:rPr>
        <w:t></w:t>
      </w:r>
      <w:r w:rsidRPr="00C33630">
        <w:rPr>
          <w:rFonts w:ascii="Arial" w:hAnsi="Arial" w:cs="Arial"/>
          <w:color w:val="231F20"/>
          <w:shd w:val="clear" w:color="auto" w:fill="FFFFFF"/>
        </w:rPr>
        <w:t>IIb</w:t>
      </w:r>
      <w:r>
        <w:rPr>
          <w:rFonts w:ascii="Arial" w:hAnsi="Arial" w:cs="Arial"/>
          <w:color w:val="231F20"/>
          <w:shd w:val="clear" w:color="auto" w:fill="FFFFFF"/>
        </w:rPr>
        <w:t xml:space="preserve"> integrin </w:t>
      </w:r>
      <w:r w:rsidRPr="00C33630">
        <w:rPr>
          <w:rFonts w:ascii="Arial" w:hAnsi="Arial" w:cs="Arial"/>
          <w:color w:val="231F20"/>
          <w:shd w:val="clear" w:color="auto" w:fill="FFFFFF"/>
        </w:rPr>
        <w:t>(&lt;0.0001,</w:t>
      </w:r>
      <w:r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C33630">
        <w:rPr>
          <w:rFonts w:ascii="Arial" w:hAnsi="Arial" w:cs="Arial"/>
          <w:color w:val="231F20"/>
          <w:shd w:val="clear" w:color="auto" w:fill="FFFFFF"/>
        </w:rPr>
        <w:t>0.0006)</w:t>
      </w:r>
      <w:r>
        <w:rPr>
          <w:rFonts w:ascii="Arial" w:hAnsi="Arial" w:cs="Arial"/>
          <w:color w:val="231F20"/>
          <w:shd w:val="clear" w:color="auto" w:fill="FFFFFF"/>
        </w:rPr>
        <w:t xml:space="preserve"> which were unrelated to</w:t>
      </w:r>
      <w:r w:rsidRPr="00C33630">
        <w:rPr>
          <w:rFonts w:ascii="Arial" w:hAnsi="Arial" w:cs="Arial"/>
          <w:color w:val="231F20"/>
          <w:shd w:val="clear" w:color="auto" w:fill="FFFFFF"/>
        </w:rPr>
        <w:t xml:space="preserve"> platelet count. 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>P-selectin levels in patients with primary ITP were significantly h</w:t>
      </w:r>
      <w:r w:rsidR="00F17214">
        <w:rPr>
          <w:rFonts w:ascii="Arial" w:hAnsi="Arial" w:cs="Arial"/>
          <w:color w:val="231F20"/>
          <w:shd w:val="clear" w:color="auto" w:fill="FFFFFF"/>
        </w:rPr>
        <w:t>igher than in healthy donors (p=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>0.0001)</w:t>
      </w:r>
      <w:r w:rsidR="00F17214">
        <w:rPr>
          <w:rFonts w:ascii="Arial" w:hAnsi="Arial" w:cs="Arial"/>
          <w:color w:val="231F20"/>
          <w:shd w:val="clear" w:color="auto" w:fill="FFFFFF"/>
        </w:rPr>
        <w:t xml:space="preserve"> and non-ITPs (p=0.0089)</w:t>
      </w:r>
      <w:r w:rsidR="00721012">
        <w:rPr>
          <w:rFonts w:ascii="Arial" w:hAnsi="Arial" w:cs="Arial"/>
          <w:color w:val="231F20"/>
          <w:shd w:val="clear" w:color="auto" w:fill="FFFFFF"/>
        </w:rPr>
        <w:t xml:space="preserve"> indicating platelet activation</w:t>
      </w:r>
      <w:r w:rsidR="00F17214">
        <w:rPr>
          <w:rFonts w:ascii="Arial" w:hAnsi="Arial" w:cs="Arial"/>
          <w:color w:val="231F20"/>
          <w:shd w:val="clear" w:color="auto" w:fill="FFFFFF"/>
        </w:rPr>
        <w:t>. N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>on-ITP</w:t>
      </w:r>
      <w:r w:rsidR="00F17214">
        <w:rPr>
          <w:rFonts w:ascii="Arial" w:hAnsi="Arial" w:cs="Arial"/>
          <w:color w:val="231F20"/>
          <w:shd w:val="clear" w:color="auto" w:fill="FFFFFF"/>
        </w:rPr>
        <w:t xml:space="preserve"> platelets demonstrated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 reduced </w:t>
      </w:r>
      <w:r w:rsidR="00F17214" w:rsidRPr="00A71C6F">
        <w:rPr>
          <w:rFonts w:ascii="Symbol" w:hAnsi="Symbol" w:cs="Arial"/>
          <w:color w:val="231F20"/>
          <w:shd w:val="clear" w:color="auto" w:fill="FFFFFF"/>
        </w:rPr>
        <w:t></w:t>
      </w:r>
      <w:r w:rsidR="00F17214">
        <w:rPr>
          <w:rFonts w:ascii="Arial" w:hAnsi="Arial" w:cs="Arial"/>
          <w:color w:val="231F20"/>
          <w:shd w:val="clear" w:color="auto" w:fill="FFFFFF"/>
        </w:rPr>
        <w:t>IIb</w:t>
      </w:r>
      <w:r w:rsidR="00F17214" w:rsidRPr="00A71C6F">
        <w:rPr>
          <w:rFonts w:ascii="Symbol" w:hAnsi="Symbol" w:cs="Arial"/>
          <w:color w:val="231F20"/>
          <w:shd w:val="clear" w:color="auto" w:fill="FFFFFF"/>
        </w:rPr>
        <w:t></w:t>
      </w:r>
      <w:r w:rsidR="00F17214">
        <w:rPr>
          <w:rFonts w:ascii="Arial" w:hAnsi="Arial" w:cs="Arial"/>
          <w:color w:val="231F20"/>
          <w:shd w:val="clear" w:color="auto" w:fill="FFFFFF"/>
        </w:rPr>
        <w:t>3-activation</w:t>
      </w:r>
      <w:r w:rsidR="00A10F0F">
        <w:rPr>
          <w:rFonts w:ascii="Arial" w:hAnsi="Arial" w:cs="Arial"/>
          <w:color w:val="231F20"/>
          <w:shd w:val="clear" w:color="auto" w:fill="FFFFFF"/>
        </w:rPr>
        <w:t xml:space="preserve"> relative to </w:t>
      </w:r>
      <w:r w:rsidR="009932F7">
        <w:rPr>
          <w:rFonts w:ascii="Arial" w:hAnsi="Arial" w:cs="Arial"/>
          <w:color w:val="231F20"/>
          <w:shd w:val="clear" w:color="auto" w:fill="FFFFFF"/>
        </w:rPr>
        <w:t>ITP platelets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 in response to</w:t>
      </w:r>
      <w:r w:rsidR="0028336E">
        <w:rPr>
          <w:rFonts w:ascii="Arial" w:hAnsi="Arial" w:cs="Arial"/>
          <w:color w:val="231F20"/>
          <w:shd w:val="clear" w:color="auto" w:fill="FFFFFF"/>
        </w:rPr>
        <w:t xml:space="preserve"> agonists of</w:t>
      </w:r>
      <w:r w:rsidR="009932F7">
        <w:rPr>
          <w:rFonts w:ascii="Arial" w:hAnsi="Arial" w:cs="Arial"/>
          <w:color w:val="231F20"/>
          <w:shd w:val="clear" w:color="auto" w:fill="FFFFFF"/>
        </w:rPr>
        <w:t xml:space="preserve"> GPVI</w:t>
      </w:r>
      <w:r w:rsidR="00F17214">
        <w:rPr>
          <w:rFonts w:ascii="Arial" w:hAnsi="Arial" w:cs="Arial"/>
          <w:color w:val="231F20"/>
          <w:shd w:val="clear" w:color="auto" w:fill="FFFFFF"/>
        </w:rPr>
        <w:t xml:space="preserve"> (p=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0.0010), </w:t>
      </w:r>
      <w:r w:rsidR="006320EE">
        <w:rPr>
          <w:rFonts w:ascii="Arial" w:hAnsi="Arial" w:cs="Arial"/>
          <w:color w:val="231F20"/>
          <w:shd w:val="clear" w:color="auto" w:fill="FFFFFF"/>
        </w:rPr>
        <w:t>thrombin receptor</w:t>
      </w:r>
      <w:r w:rsidR="00F17214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(p&lt;0.0001) </w:t>
      </w:r>
      <w:r w:rsidR="00F17214">
        <w:rPr>
          <w:rFonts w:ascii="Arial" w:hAnsi="Arial" w:cs="Arial"/>
          <w:color w:val="231F20"/>
          <w:shd w:val="clear" w:color="auto" w:fill="FFFFFF"/>
        </w:rPr>
        <w:t>or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 ADP</w:t>
      </w:r>
      <w:r w:rsidR="006320EE">
        <w:rPr>
          <w:rFonts w:ascii="Arial" w:hAnsi="Arial" w:cs="Arial"/>
          <w:color w:val="231F20"/>
          <w:shd w:val="clear" w:color="auto" w:fill="FFFFFF"/>
        </w:rPr>
        <w:t xml:space="preserve"> receptor</w:t>
      </w:r>
      <w:r w:rsidR="00F17214">
        <w:rPr>
          <w:rFonts w:ascii="Arial" w:hAnsi="Arial" w:cs="Arial"/>
          <w:color w:val="231F20"/>
          <w:shd w:val="clear" w:color="auto" w:fill="FFFFFF"/>
        </w:rPr>
        <w:t xml:space="preserve"> (p=</w:t>
      </w:r>
      <w:r w:rsidR="00F17214" w:rsidRPr="00C33630">
        <w:rPr>
          <w:rFonts w:ascii="Arial" w:hAnsi="Arial" w:cs="Arial"/>
          <w:color w:val="231F20"/>
          <w:shd w:val="clear" w:color="auto" w:fill="FFFFFF"/>
        </w:rPr>
        <w:t xml:space="preserve">0.0381). </w:t>
      </w:r>
      <w:r w:rsidR="00A31BA1">
        <w:rPr>
          <w:rFonts w:ascii="Arial" w:hAnsi="Arial" w:cs="Arial"/>
          <w:color w:val="231F20"/>
          <w:shd w:val="clear" w:color="auto" w:fill="FFFFFF"/>
        </w:rPr>
        <w:t>A</w:t>
      </w:r>
      <w:r w:rsidR="00A31BA1" w:rsidRPr="00C33630">
        <w:rPr>
          <w:rFonts w:ascii="Arial" w:hAnsi="Arial" w:cs="Arial"/>
          <w:color w:val="231F20"/>
          <w:shd w:val="clear" w:color="auto" w:fill="FFFFFF"/>
        </w:rPr>
        <w:t>ll patients had reduced extrinsic and intrinsic</w:t>
      </w:r>
      <w:r w:rsidR="00A31BA1">
        <w:rPr>
          <w:rFonts w:ascii="Arial" w:hAnsi="Arial" w:cs="Arial"/>
          <w:color w:val="231F20"/>
          <w:shd w:val="clear" w:color="auto" w:fill="FFFFFF"/>
        </w:rPr>
        <w:t xml:space="preserve"> clot </w:t>
      </w:r>
      <w:r w:rsidR="00A31BA1" w:rsidRPr="00C33630">
        <w:rPr>
          <w:rFonts w:ascii="Arial" w:hAnsi="Arial" w:cs="Arial"/>
          <w:color w:val="231F20"/>
          <w:shd w:val="clear" w:color="auto" w:fill="FFFFFF"/>
        </w:rPr>
        <w:t>amplitude</w:t>
      </w:r>
      <w:r w:rsidR="00A31BA1">
        <w:rPr>
          <w:rFonts w:ascii="Arial" w:hAnsi="Arial" w:cs="Arial"/>
          <w:color w:val="231F20"/>
          <w:shd w:val="clear" w:color="auto" w:fill="FFFFFF"/>
        </w:rPr>
        <w:t>s (A10)</w:t>
      </w:r>
      <w:r w:rsidR="00A31BA1" w:rsidRPr="00C33630">
        <w:rPr>
          <w:rFonts w:ascii="Arial" w:hAnsi="Arial" w:cs="Arial"/>
          <w:color w:val="231F20"/>
          <w:shd w:val="clear" w:color="auto" w:fill="FFFFFF"/>
        </w:rPr>
        <w:t xml:space="preserve"> (</w:t>
      </w:r>
      <w:r w:rsidR="00F842F5">
        <w:rPr>
          <w:rFonts w:ascii="Arial" w:hAnsi="Arial" w:cs="Arial"/>
          <w:color w:val="231F20"/>
          <w:shd w:val="clear" w:color="auto" w:fill="FFFFFF"/>
        </w:rPr>
        <w:t>p</w:t>
      </w:r>
      <w:r w:rsidR="00A31BA1" w:rsidRPr="00C33630">
        <w:rPr>
          <w:rFonts w:ascii="Arial" w:hAnsi="Arial" w:cs="Arial"/>
          <w:color w:val="231F20"/>
          <w:shd w:val="clear" w:color="auto" w:fill="FFFFFF"/>
        </w:rPr>
        <w:t>&lt;0.0001)</w:t>
      </w:r>
      <w:r w:rsidR="00A31BA1">
        <w:rPr>
          <w:rFonts w:ascii="Arial" w:hAnsi="Arial" w:cs="Arial"/>
          <w:color w:val="231F20"/>
          <w:shd w:val="clear" w:color="auto" w:fill="FFFFFF"/>
        </w:rPr>
        <w:t xml:space="preserve"> in ROTEM</w:t>
      </w:r>
      <w:r w:rsidR="00A31BA1" w:rsidRPr="00C33630">
        <w:rPr>
          <w:rFonts w:ascii="Arial" w:hAnsi="Arial" w:cs="Arial"/>
          <w:color w:val="231F20"/>
          <w:shd w:val="clear" w:color="auto" w:fill="FFFFFF"/>
        </w:rPr>
        <w:t xml:space="preserve">. </w:t>
      </w:r>
      <w:r w:rsidR="00F842F5">
        <w:rPr>
          <w:rFonts w:ascii="Arial" w:hAnsi="Arial" w:cs="Arial"/>
          <w:color w:val="231F20"/>
          <w:shd w:val="clear" w:color="auto" w:fill="FFFFFF"/>
        </w:rPr>
        <w:t>ITP platelet</w:t>
      </w:r>
      <w:r w:rsidR="00821DD8">
        <w:rPr>
          <w:rFonts w:ascii="Arial" w:hAnsi="Arial" w:cs="Arial"/>
          <w:color w:val="231F20"/>
          <w:shd w:val="clear" w:color="auto" w:fill="FFFFFF"/>
        </w:rPr>
        <w:t xml:space="preserve"> </w:t>
      </w:r>
      <w:proofErr w:type="spellStart"/>
      <w:r w:rsidR="00821DD8">
        <w:rPr>
          <w:rFonts w:ascii="Arial" w:hAnsi="Arial" w:cs="Arial"/>
          <w:color w:val="231F20"/>
          <w:shd w:val="clear" w:color="auto" w:fill="FFFFFF"/>
        </w:rPr>
        <w:t>tetraspanin</w:t>
      </w:r>
      <w:proofErr w:type="spellEnd"/>
      <w:r w:rsidR="00F842F5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F842F5" w:rsidRPr="00F842F5">
        <w:rPr>
          <w:rFonts w:ascii="Arial" w:hAnsi="Arial" w:cs="Arial"/>
          <w:color w:val="231F20"/>
          <w:shd w:val="clear" w:color="auto" w:fill="FFFFFF"/>
        </w:rPr>
        <w:t>CD9</w:t>
      </w:r>
      <w:r w:rsidR="00C7018C">
        <w:rPr>
          <w:rFonts w:ascii="Arial" w:hAnsi="Arial" w:cs="Arial"/>
          <w:color w:val="231F20"/>
          <w:shd w:val="clear" w:color="auto" w:fill="FFFFFF"/>
        </w:rPr>
        <w:t xml:space="preserve"> levels</w:t>
      </w:r>
      <w:r w:rsidR="00F842F5" w:rsidRPr="00F842F5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F842F5">
        <w:rPr>
          <w:rFonts w:ascii="Arial" w:hAnsi="Arial" w:cs="Arial"/>
          <w:color w:val="231F20"/>
          <w:shd w:val="clear" w:color="auto" w:fill="FFFFFF"/>
        </w:rPr>
        <w:t>weakly</w:t>
      </w:r>
      <w:r w:rsidR="00F842F5" w:rsidRPr="00F842F5">
        <w:rPr>
          <w:rFonts w:ascii="Arial" w:hAnsi="Arial" w:cs="Arial"/>
          <w:color w:val="231F20"/>
          <w:shd w:val="clear" w:color="auto" w:fill="FFFFFF"/>
        </w:rPr>
        <w:t xml:space="preserve"> correlated with </w:t>
      </w:r>
      <w:r w:rsidR="00CB6755">
        <w:rPr>
          <w:rFonts w:ascii="Arial" w:hAnsi="Arial" w:cs="Arial"/>
          <w:color w:val="231F20"/>
          <w:shd w:val="clear" w:color="auto" w:fill="FFFFFF"/>
        </w:rPr>
        <w:t>intrinsic (r</w:t>
      </w:r>
      <w:r w:rsidR="00CB6755" w:rsidRPr="000B46B3">
        <w:rPr>
          <w:rFonts w:ascii="Arial" w:hAnsi="Arial" w:cs="Arial"/>
          <w:color w:val="231F20"/>
          <w:shd w:val="clear" w:color="auto" w:fill="FFFFFF"/>
          <w:vertAlign w:val="superscript"/>
        </w:rPr>
        <w:t>2</w:t>
      </w:r>
      <w:r w:rsidR="00CB6755">
        <w:rPr>
          <w:rFonts w:ascii="Arial" w:hAnsi="Arial" w:cs="Arial"/>
          <w:color w:val="231F20"/>
          <w:shd w:val="clear" w:color="auto" w:fill="FFFFFF"/>
        </w:rPr>
        <w:t>=0.3013, p=0.0122) and re-calcified (NATEM) (r</w:t>
      </w:r>
      <w:r w:rsidR="00CB6755" w:rsidRPr="000B46B3">
        <w:rPr>
          <w:rFonts w:ascii="Arial" w:hAnsi="Arial" w:cs="Arial"/>
          <w:color w:val="231F20"/>
          <w:shd w:val="clear" w:color="auto" w:fill="FFFFFF"/>
          <w:vertAlign w:val="superscript"/>
        </w:rPr>
        <w:t>2</w:t>
      </w:r>
      <w:r w:rsidR="00CB6755">
        <w:rPr>
          <w:rFonts w:ascii="Arial" w:hAnsi="Arial" w:cs="Arial"/>
          <w:color w:val="231F20"/>
          <w:shd w:val="clear" w:color="auto" w:fill="FFFFFF"/>
        </w:rPr>
        <w:t>=0.3473,</w:t>
      </w:r>
      <w:r w:rsidR="000B46B3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CB6755">
        <w:rPr>
          <w:rFonts w:ascii="Arial" w:hAnsi="Arial" w:cs="Arial"/>
          <w:color w:val="231F20"/>
          <w:shd w:val="clear" w:color="auto" w:fill="FFFFFF"/>
        </w:rPr>
        <w:t xml:space="preserve">p=0.0101) </w:t>
      </w:r>
      <w:r w:rsidR="000B46B3">
        <w:rPr>
          <w:rFonts w:ascii="Arial" w:hAnsi="Arial" w:cs="Arial"/>
          <w:color w:val="231F20"/>
          <w:shd w:val="clear" w:color="auto" w:fill="FFFFFF"/>
        </w:rPr>
        <w:t xml:space="preserve">clot size </w:t>
      </w:r>
      <w:r w:rsidR="00CB6755">
        <w:rPr>
          <w:rFonts w:ascii="Arial" w:hAnsi="Arial" w:cs="Arial"/>
          <w:color w:val="231F20"/>
          <w:shd w:val="clear" w:color="auto" w:fill="FFFFFF"/>
        </w:rPr>
        <w:t>as well as with extrinsic (r</w:t>
      </w:r>
      <w:r w:rsidR="00CB6755" w:rsidRPr="000B46B3">
        <w:rPr>
          <w:rFonts w:ascii="Arial" w:hAnsi="Arial" w:cs="Arial"/>
          <w:color w:val="231F20"/>
          <w:shd w:val="clear" w:color="auto" w:fill="FFFFFF"/>
          <w:vertAlign w:val="superscript"/>
        </w:rPr>
        <w:t>2</w:t>
      </w:r>
      <w:r w:rsidR="00CB6755">
        <w:rPr>
          <w:rFonts w:ascii="Arial" w:hAnsi="Arial" w:cs="Arial"/>
          <w:color w:val="231F20"/>
          <w:shd w:val="clear" w:color="auto" w:fill="FFFFFF"/>
        </w:rPr>
        <w:t>=0.3751, p=0.0041) and fibrinogen specific (FIBTEM) (r2=0.3309,</w:t>
      </w:r>
      <w:r w:rsidR="000B46B3">
        <w:rPr>
          <w:rFonts w:ascii="Arial" w:hAnsi="Arial" w:cs="Arial"/>
          <w:color w:val="231F20"/>
          <w:shd w:val="clear" w:color="auto" w:fill="FFFFFF"/>
        </w:rPr>
        <w:t xml:space="preserve"> p</w:t>
      </w:r>
      <w:r w:rsidR="00CB6755">
        <w:rPr>
          <w:rFonts w:ascii="Arial" w:hAnsi="Arial" w:cs="Arial"/>
          <w:color w:val="231F20"/>
          <w:shd w:val="clear" w:color="auto" w:fill="FFFFFF"/>
        </w:rPr>
        <w:t>=</w:t>
      </w:r>
      <w:r w:rsidR="000B46B3">
        <w:rPr>
          <w:rFonts w:ascii="Arial" w:hAnsi="Arial" w:cs="Arial"/>
          <w:color w:val="231F20"/>
          <w:shd w:val="clear" w:color="auto" w:fill="FFFFFF"/>
        </w:rPr>
        <w:t>0.0080)</w:t>
      </w:r>
      <w:r w:rsidR="00CB6755">
        <w:rPr>
          <w:rFonts w:ascii="Arial" w:hAnsi="Arial" w:cs="Arial"/>
          <w:color w:val="231F20"/>
          <w:shd w:val="clear" w:color="auto" w:fill="FFFFFF"/>
        </w:rPr>
        <w:t xml:space="preserve"> clotting time</w:t>
      </w:r>
      <w:r w:rsidR="00D11F53">
        <w:rPr>
          <w:rFonts w:ascii="Arial" w:hAnsi="Arial" w:cs="Arial"/>
          <w:color w:val="231F20"/>
          <w:shd w:val="clear" w:color="auto" w:fill="FFFFFF"/>
        </w:rPr>
        <w:t>s</w:t>
      </w:r>
      <w:r w:rsidR="000B46B3">
        <w:rPr>
          <w:rFonts w:ascii="Arial" w:hAnsi="Arial" w:cs="Arial"/>
          <w:color w:val="231F20"/>
          <w:shd w:val="clear" w:color="auto" w:fill="FFFFFF"/>
        </w:rPr>
        <w:t>.</w:t>
      </w:r>
      <w:r w:rsidR="00CB6755" w:rsidRPr="00CB6755">
        <w:rPr>
          <w:rFonts w:ascii="Arial" w:hAnsi="Arial" w:cs="Arial"/>
          <w:color w:val="231F20"/>
          <w:shd w:val="clear" w:color="auto" w:fill="FFFFFF"/>
        </w:rPr>
        <w:t xml:space="preserve"> </w:t>
      </w:r>
    </w:p>
    <w:p w14:paraId="0648403E" w14:textId="370E0211" w:rsidR="008A7BC5" w:rsidRPr="00E21AF6" w:rsidRDefault="004E5B2F" w:rsidP="00E21AF6">
      <w:pPr>
        <w:jc w:val="both"/>
        <w:rPr>
          <w:rFonts w:ascii="Arial" w:hAnsi="Arial" w:cs="Arial"/>
          <w:b/>
          <w:bCs/>
          <w:color w:val="231F20"/>
        </w:rPr>
      </w:pPr>
      <w:r w:rsidRPr="00E21AF6">
        <w:rPr>
          <w:rFonts w:ascii="Arial" w:hAnsi="Arial" w:cs="Arial"/>
          <w:b/>
          <w:bCs/>
          <w:color w:val="231F20"/>
        </w:rPr>
        <w:t>Conclusion: </w:t>
      </w:r>
    </w:p>
    <w:p w14:paraId="0109F382" w14:textId="27538DE7" w:rsidR="00497A7D" w:rsidRPr="00E21AF6" w:rsidRDefault="00D11F53" w:rsidP="00C33630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  <w:lang w:val="en-AU"/>
        </w:rPr>
      </w:pPr>
      <w:r>
        <w:rPr>
          <w:rFonts w:ascii="Arial" w:hAnsi="Arial" w:cs="Arial"/>
          <w:bCs/>
          <w:color w:val="231F20"/>
        </w:rPr>
        <w:t>Platelet r</w:t>
      </w:r>
      <w:r w:rsidR="00C33630" w:rsidRPr="00C33630">
        <w:rPr>
          <w:rFonts w:ascii="Arial" w:hAnsi="Arial" w:cs="Arial"/>
          <w:bCs/>
          <w:color w:val="231F20"/>
        </w:rPr>
        <w:t>eceptor levels</w:t>
      </w:r>
      <w:r w:rsidR="005C5EA5">
        <w:rPr>
          <w:rFonts w:ascii="Arial" w:hAnsi="Arial" w:cs="Arial"/>
          <w:bCs/>
          <w:color w:val="231F20"/>
        </w:rPr>
        <w:t xml:space="preserve"> evaluated</w:t>
      </w:r>
      <w:r w:rsidR="00C33630" w:rsidRPr="00C33630">
        <w:rPr>
          <w:rFonts w:ascii="Arial" w:hAnsi="Arial" w:cs="Arial"/>
          <w:bCs/>
          <w:color w:val="231F20"/>
        </w:rPr>
        <w:t xml:space="preserve"> in combination with functional assays such as ROTEM</w:t>
      </w:r>
      <w:r w:rsidR="005C5EA5">
        <w:rPr>
          <w:rFonts w:ascii="Arial" w:hAnsi="Arial" w:cs="Arial"/>
          <w:bCs/>
          <w:color w:val="231F20"/>
        </w:rPr>
        <w:t xml:space="preserve"> and a</w:t>
      </w:r>
      <w:r w:rsidR="00C33630" w:rsidRPr="00C33630">
        <w:rPr>
          <w:rFonts w:ascii="Arial" w:hAnsi="Arial" w:cs="Arial"/>
          <w:bCs/>
          <w:color w:val="231F20"/>
        </w:rPr>
        <w:t xml:space="preserve"> GPVI-mediated </w:t>
      </w:r>
      <w:r w:rsidR="00622704" w:rsidRPr="00622704">
        <w:rPr>
          <w:rFonts w:ascii="Symbol" w:hAnsi="Symbol" w:cs="Arial"/>
          <w:bCs/>
          <w:color w:val="231F20"/>
        </w:rPr>
        <w:t></w:t>
      </w:r>
      <w:r w:rsidR="00C33630" w:rsidRPr="00C33630">
        <w:rPr>
          <w:rFonts w:ascii="Arial" w:hAnsi="Arial" w:cs="Arial"/>
          <w:bCs/>
          <w:color w:val="231F20"/>
        </w:rPr>
        <w:t>IIb</w:t>
      </w:r>
      <w:r w:rsidR="00622704" w:rsidRPr="00622704">
        <w:rPr>
          <w:rFonts w:ascii="Symbol" w:hAnsi="Symbol" w:cs="Arial"/>
          <w:bCs/>
          <w:color w:val="231F20"/>
        </w:rPr>
        <w:t></w:t>
      </w:r>
      <w:r w:rsidR="00C33630" w:rsidRPr="00C33630">
        <w:rPr>
          <w:rFonts w:ascii="Arial" w:hAnsi="Arial" w:cs="Arial"/>
          <w:bCs/>
          <w:color w:val="231F20"/>
        </w:rPr>
        <w:t xml:space="preserve">3 activation </w:t>
      </w:r>
      <w:r w:rsidR="0065539D" w:rsidRPr="00C33630">
        <w:rPr>
          <w:rFonts w:ascii="Arial" w:hAnsi="Arial" w:cs="Arial"/>
          <w:bCs/>
          <w:color w:val="231F20"/>
        </w:rPr>
        <w:t>assay</w:t>
      </w:r>
      <w:r w:rsidR="00C33630" w:rsidRPr="00C33630">
        <w:rPr>
          <w:rFonts w:ascii="Arial" w:hAnsi="Arial" w:cs="Arial"/>
          <w:bCs/>
          <w:color w:val="231F20"/>
        </w:rPr>
        <w:t xml:space="preserve"> can help distinguish primary ITP from other </w:t>
      </w:r>
      <w:r w:rsidR="00C33630">
        <w:rPr>
          <w:rFonts w:ascii="Arial" w:hAnsi="Arial" w:cs="Arial"/>
          <w:bCs/>
          <w:color w:val="231F20"/>
        </w:rPr>
        <w:t>types</w:t>
      </w:r>
      <w:r w:rsidR="00C33630" w:rsidRPr="00C33630">
        <w:rPr>
          <w:rFonts w:ascii="Arial" w:hAnsi="Arial" w:cs="Arial"/>
          <w:bCs/>
          <w:color w:val="231F20"/>
        </w:rPr>
        <w:t xml:space="preserve"> of thrombocytopenia.</w:t>
      </w:r>
      <w:r w:rsidR="00622704" w:rsidRP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="005213A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Diminution o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f platelet receptors may contribute to </w:t>
      </w:r>
      <w:proofErr w:type="spellStart"/>
      <w:r w:rsidR="005213A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haemostasis</w:t>
      </w:r>
      <w:proofErr w:type="spellEnd"/>
      <w:r w:rsidR="005213A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dysregulation</w:t>
      </w:r>
      <w:r w:rsidR="005C5EA5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observed in thrombocytopenia</w:t>
      </w:r>
      <w:r w:rsidR="005213A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that is </w:t>
      </w:r>
      <w:r w:rsidR="00622704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not explained by platelet count</w:t>
      </w:r>
      <w:r w:rsidR="005213A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</w:t>
      </w:r>
      <w:r w:rsidR="001A1C9A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</w:p>
    <w:sectPr w:rsidR="00497A7D" w:rsidRPr="00E21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C5"/>
    <w:rsid w:val="000009C7"/>
    <w:rsid w:val="000020B6"/>
    <w:rsid w:val="0005204E"/>
    <w:rsid w:val="00052BB1"/>
    <w:rsid w:val="00053B31"/>
    <w:rsid w:val="000615D7"/>
    <w:rsid w:val="00063B51"/>
    <w:rsid w:val="00081927"/>
    <w:rsid w:val="00093EB0"/>
    <w:rsid w:val="000B46B3"/>
    <w:rsid w:val="000B734F"/>
    <w:rsid w:val="000E0306"/>
    <w:rsid w:val="000E2613"/>
    <w:rsid w:val="000E7CCF"/>
    <w:rsid w:val="00113F2D"/>
    <w:rsid w:val="00117964"/>
    <w:rsid w:val="0012485A"/>
    <w:rsid w:val="00131516"/>
    <w:rsid w:val="00143707"/>
    <w:rsid w:val="00163E0D"/>
    <w:rsid w:val="001A1C9A"/>
    <w:rsid w:val="001A4BE2"/>
    <w:rsid w:val="001C4367"/>
    <w:rsid w:val="002048FD"/>
    <w:rsid w:val="00212AC5"/>
    <w:rsid w:val="002522F4"/>
    <w:rsid w:val="0028336E"/>
    <w:rsid w:val="00292049"/>
    <w:rsid w:val="002A512B"/>
    <w:rsid w:val="002B223E"/>
    <w:rsid w:val="002C0363"/>
    <w:rsid w:val="002D280F"/>
    <w:rsid w:val="002F5D25"/>
    <w:rsid w:val="00320982"/>
    <w:rsid w:val="00324BB4"/>
    <w:rsid w:val="00326D98"/>
    <w:rsid w:val="003459B1"/>
    <w:rsid w:val="00346CA5"/>
    <w:rsid w:val="00350DB6"/>
    <w:rsid w:val="00380986"/>
    <w:rsid w:val="00385263"/>
    <w:rsid w:val="003920D7"/>
    <w:rsid w:val="003A1E34"/>
    <w:rsid w:val="003B49AE"/>
    <w:rsid w:val="003B52FD"/>
    <w:rsid w:val="003B6825"/>
    <w:rsid w:val="003C49E3"/>
    <w:rsid w:val="003D1C94"/>
    <w:rsid w:val="003F75C3"/>
    <w:rsid w:val="0042003E"/>
    <w:rsid w:val="0042351C"/>
    <w:rsid w:val="00427385"/>
    <w:rsid w:val="00433ED7"/>
    <w:rsid w:val="00450F20"/>
    <w:rsid w:val="00451572"/>
    <w:rsid w:val="004561A4"/>
    <w:rsid w:val="00485D23"/>
    <w:rsid w:val="00491E8A"/>
    <w:rsid w:val="00497A7D"/>
    <w:rsid w:val="004B2D26"/>
    <w:rsid w:val="004B4FF5"/>
    <w:rsid w:val="004C64AE"/>
    <w:rsid w:val="004E11CB"/>
    <w:rsid w:val="004E396F"/>
    <w:rsid w:val="004E5B2F"/>
    <w:rsid w:val="00511FC7"/>
    <w:rsid w:val="00513718"/>
    <w:rsid w:val="00520B1F"/>
    <w:rsid w:val="005213AB"/>
    <w:rsid w:val="005362B7"/>
    <w:rsid w:val="00555706"/>
    <w:rsid w:val="005617F8"/>
    <w:rsid w:val="00592ECB"/>
    <w:rsid w:val="005A1FA3"/>
    <w:rsid w:val="005A3AD4"/>
    <w:rsid w:val="005B1ECB"/>
    <w:rsid w:val="005C5BB3"/>
    <w:rsid w:val="005C5EA5"/>
    <w:rsid w:val="005D110F"/>
    <w:rsid w:val="005D133C"/>
    <w:rsid w:val="005E19C0"/>
    <w:rsid w:val="005E2333"/>
    <w:rsid w:val="00612A3E"/>
    <w:rsid w:val="00622704"/>
    <w:rsid w:val="006320EE"/>
    <w:rsid w:val="00632EF9"/>
    <w:rsid w:val="00635616"/>
    <w:rsid w:val="00640BA9"/>
    <w:rsid w:val="0065539D"/>
    <w:rsid w:val="00667F35"/>
    <w:rsid w:val="00671F3C"/>
    <w:rsid w:val="00693051"/>
    <w:rsid w:val="006B3BC6"/>
    <w:rsid w:val="006C5A9B"/>
    <w:rsid w:val="006D6B46"/>
    <w:rsid w:val="006E78A4"/>
    <w:rsid w:val="0071742B"/>
    <w:rsid w:val="00721012"/>
    <w:rsid w:val="00747F96"/>
    <w:rsid w:val="0076003C"/>
    <w:rsid w:val="00760304"/>
    <w:rsid w:val="00790C32"/>
    <w:rsid w:val="007B1B3D"/>
    <w:rsid w:val="007B1CA8"/>
    <w:rsid w:val="007E3516"/>
    <w:rsid w:val="00806447"/>
    <w:rsid w:val="008073A2"/>
    <w:rsid w:val="0080760A"/>
    <w:rsid w:val="00820996"/>
    <w:rsid w:val="00821DD8"/>
    <w:rsid w:val="008531AF"/>
    <w:rsid w:val="008548D1"/>
    <w:rsid w:val="00876030"/>
    <w:rsid w:val="008A7BC5"/>
    <w:rsid w:val="008C7AF2"/>
    <w:rsid w:val="008D1396"/>
    <w:rsid w:val="008E06EB"/>
    <w:rsid w:val="008E3752"/>
    <w:rsid w:val="009156E6"/>
    <w:rsid w:val="00916181"/>
    <w:rsid w:val="009165DE"/>
    <w:rsid w:val="009624F0"/>
    <w:rsid w:val="00974C66"/>
    <w:rsid w:val="00980220"/>
    <w:rsid w:val="009932F7"/>
    <w:rsid w:val="009C6EBD"/>
    <w:rsid w:val="009D1DBF"/>
    <w:rsid w:val="009E51CA"/>
    <w:rsid w:val="009F3761"/>
    <w:rsid w:val="009F54D0"/>
    <w:rsid w:val="00A00B04"/>
    <w:rsid w:val="00A10F0F"/>
    <w:rsid w:val="00A27C7D"/>
    <w:rsid w:val="00A31BA1"/>
    <w:rsid w:val="00A32AF7"/>
    <w:rsid w:val="00A503AF"/>
    <w:rsid w:val="00A71C6F"/>
    <w:rsid w:val="00A73C13"/>
    <w:rsid w:val="00A87A28"/>
    <w:rsid w:val="00AA1BB4"/>
    <w:rsid w:val="00AA456A"/>
    <w:rsid w:val="00AA674C"/>
    <w:rsid w:val="00AB39B6"/>
    <w:rsid w:val="00AF72F3"/>
    <w:rsid w:val="00B0137D"/>
    <w:rsid w:val="00B1390D"/>
    <w:rsid w:val="00B44336"/>
    <w:rsid w:val="00B93310"/>
    <w:rsid w:val="00B95365"/>
    <w:rsid w:val="00BB2B0F"/>
    <w:rsid w:val="00BB5707"/>
    <w:rsid w:val="00C11B3D"/>
    <w:rsid w:val="00C22B18"/>
    <w:rsid w:val="00C265B4"/>
    <w:rsid w:val="00C33630"/>
    <w:rsid w:val="00C44753"/>
    <w:rsid w:val="00C45FC5"/>
    <w:rsid w:val="00C7018C"/>
    <w:rsid w:val="00C8545F"/>
    <w:rsid w:val="00CA3A85"/>
    <w:rsid w:val="00CB6755"/>
    <w:rsid w:val="00CD119B"/>
    <w:rsid w:val="00CD7707"/>
    <w:rsid w:val="00CD775F"/>
    <w:rsid w:val="00CD7D2E"/>
    <w:rsid w:val="00D11F53"/>
    <w:rsid w:val="00D221D4"/>
    <w:rsid w:val="00D4157C"/>
    <w:rsid w:val="00D42A7D"/>
    <w:rsid w:val="00D452AC"/>
    <w:rsid w:val="00D51355"/>
    <w:rsid w:val="00D64A05"/>
    <w:rsid w:val="00D94D5D"/>
    <w:rsid w:val="00DC041A"/>
    <w:rsid w:val="00DC15B4"/>
    <w:rsid w:val="00E0464E"/>
    <w:rsid w:val="00E0557F"/>
    <w:rsid w:val="00E21AF6"/>
    <w:rsid w:val="00E77AF2"/>
    <w:rsid w:val="00E919AE"/>
    <w:rsid w:val="00EC07E8"/>
    <w:rsid w:val="00EC5FC4"/>
    <w:rsid w:val="00EE1B49"/>
    <w:rsid w:val="00F17214"/>
    <w:rsid w:val="00F2330B"/>
    <w:rsid w:val="00F42C9F"/>
    <w:rsid w:val="00F501DC"/>
    <w:rsid w:val="00F51CB8"/>
    <w:rsid w:val="00F723F3"/>
    <w:rsid w:val="00F842F5"/>
    <w:rsid w:val="00F95BC8"/>
    <w:rsid w:val="00FA0C46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64A05"/>
  </w:style>
  <w:style w:type="character" w:customStyle="1" w:styleId="eop">
    <w:name w:val="eop"/>
    <w:basedOn w:val="DefaultParagraphFont"/>
    <w:rsid w:val="00D64A05"/>
  </w:style>
  <w:style w:type="character" w:customStyle="1" w:styleId="spellingerror">
    <w:name w:val="spellingerror"/>
    <w:basedOn w:val="DefaultParagraphFont"/>
    <w:rsid w:val="00497A7D"/>
  </w:style>
  <w:style w:type="character" w:styleId="CommentReference">
    <w:name w:val="annotation reference"/>
    <w:basedOn w:val="DefaultParagraphFont"/>
    <w:uiPriority w:val="99"/>
    <w:semiHidden/>
    <w:unhideWhenUsed/>
    <w:rsid w:val="0039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04D83AB87334F9F8EC2EB8FE6D599" ma:contentTypeVersion="14" ma:contentTypeDescription="Create a new document." ma:contentTypeScope="" ma:versionID="ba34e6d802e426e7a5055673f9fc9e19">
  <xsd:schema xmlns:xsd="http://www.w3.org/2001/XMLSchema" xmlns:xs="http://www.w3.org/2001/XMLSchema" xmlns:p="http://schemas.microsoft.com/office/2006/metadata/properties" xmlns:ns3="a635a6b4-5a07-4bf7-81fe-61f83315ddc5" xmlns:ns4="bbd29f76-845f-457b-92e7-902171952e23" targetNamespace="http://schemas.microsoft.com/office/2006/metadata/properties" ma:root="true" ma:fieldsID="b5d2f8e31d6704efb5e7d89fe8125ddc" ns3:_="" ns4:_="">
    <xsd:import namespace="a635a6b4-5a07-4bf7-81fe-61f83315ddc5"/>
    <xsd:import namespace="bbd29f76-845f-457b-92e7-902171952e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5a6b4-5a07-4bf7-81fe-61f83315d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9f76-845f-457b-92e7-902171952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C9CCE-F34A-42B7-9AC9-31E5172E6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5a6b4-5a07-4bf7-81fe-61f83315ddc5"/>
    <ds:schemaRef ds:uri="bbd29f76-845f-457b-92e7-902171952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Gardiner</dc:creator>
  <cp:keywords/>
  <dc:description/>
  <cp:lastModifiedBy>Megan Sarson</cp:lastModifiedBy>
  <cp:revision>2</cp:revision>
  <dcterms:created xsi:type="dcterms:W3CDTF">2022-09-20T03:33:00Z</dcterms:created>
  <dcterms:modified xsi:type="dcterms:W3CDTF">2022-09-20T03:33:00Z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0x010100BF504D83AB87334F9F8EC2EB8FE6D599</vt:lpwstr>
  </property>
  <property fmtid="{D5CDD505-2E9C-101B-9397-08002B2CF9AE}" pid="3" name="AuthorIds_UIVersion_512">
    <vt:lpwstr>45</vt:lpwstr>
  </property>
</Properties>
</file>