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0FD7" w14:textId="77777777" w:rsidR="00C110CE" w:rsidRPr="00415103" w:rsidRDefault="00C110CE" w:rsidP="00C110CE">
      <w:pPr>
        <w:pStyle w:val="AbstractBookPaperTitle"/>
        <w:spacing w:after="0"/>
        <w:rPr>
          <w:rFonts w:ascii="Arial" w:hAnsi="Arial" w:cs="Arial"/>
          <w:b/>
          <w:bCs/>
          <w:sz w:val="22"/>
        </w:rPr>
      </w:pPr>
      <w:r w:rsidRPr="00415103">
        <w:rPr>
          <w:rFonts w:ascii="Arial" w:hAnsi="Arial" w:cs="Arial"/>
          <w:b/>
          <w:bCs/>
          <w:sz w:val="22"/>
        </w:rPr>
        <w:t>Oestrogen-Responsive miR-365a-3p and miR-548aa Expression is Increased in Whole Blood From Females on Hormone Based Contraceptives and During Pregnancy</w:t>
      </w:r>
    </w:p>
    <w:p w14:paraId="2EAD5E95" w14:textId="77777777" w:rsidR="00C110CE" w:rsidRDefault="00C110CE" w:rsidP="00C110CE">
      <w:pPr>
        <w:pStyle w:val="AbstractBookAuthors"/>
        <w:rPr>
          <w:rStyle w:val="AbstractBookPresentingAuthor"/>
          <w:rFonts w:ascii="Arial" w:hAnsi="Arial" w:cs="Arial"/>
        </w:rPr>
      </w:pPr>
    </w:p>
    <w:p w14:paraId="4C124BCD" w14:textId="77777777" w:rsidR="00C110CE" w:rsidRPr="00415103" w:rsidRDefault="00C110CE" w:rsidP="00C110CE">
      <w:pPr>
        <w:pStyle w:val="AbstractBookAuthors"/>
        <w:rPr>
          <w:rFonts w:ascii="Arial" w:hAnsi="Arial" w:cs="Arial"/>
          <w:i/>
          <w:sz w:val="20"/>
          <w:szCs w:val="20"/>
          <w:vertAlign w:val="superscript"/>
        </w:rPr>
      </w:pPr>
      <w:r w:rsidRPr="00415103">
        <w:rPr>
          <w:rStyle w:val="AbstractBookPresentingAuthor"/>
          <w:rFonts w:ascii="Arial" w:hAnsi="Arial" w:cs="Arial"/>
        </w:rPr>
        <w:t>Ms Jiayin Tian</w:t>
      </w:r>
      <w:r w:rsidRPr="00415103">
        <w:rPr>
          <w:rStyle w:val="AbstractBookPresentingAuthor"/>
          <w:rFonts w:ascii="Arial" w:hAnsi="Arial" w:cs="Arial"/>
          <w:vertAlign w:val="superscript"/>
        </w:rPr>
        <w:t>1,2,3,4</w:t>
      </w:r>
      <w:r w:rsidRPr="00415103">
        <w:rPr>
          <w:rFonts w:ascii="Arial" w:hAnsi="Arial" w:cs="Arial"/>
        </w:rPr>
        <w:t xml:space="preserve">, </w:t>
      </w:r>
      <w:r w:rsidRPr="00415103">
        <w:rPr>
          <w:rFonts w:ascii="Arial" w:hAnsi="Arial" w:cs="Arial"/>
          <w:i/>
          <w:sz w:val="20"/>
          <w:szCs w:val="20"/>
        </w:rPr>
        <w:t>Dr Murray Adams</w:t>
      </w:r>
      <w:r w:rsidRPr="00415103">
        <w:rPr>
          <w:rFonts w:ascii="Arial" w:hAnsi="Arial" w:cs="Arial"/>
          <w:i/>
          <w:sz w:val="20"/>
          <w:szCs w:val="20"/>
          <w:vertAlign w:val="superscript"/>
        </w:rPr>
        <w:t>1,3,4</w:t>
      </w:r>
      <w:r w:rsidRPr="00415103">
        <w:rPr>
          <w:rFonts w:ascii="Arial" w:hAnsi="Arial" w:cs="Arial"/>
          <w:i/>
          <w:sz w:val="20"/>
          <w:szCs w:val="20"/>
        </w:rPr>
        <w:t>, Prof Ross Baker</w:t>
      </w:r>
      <w:r w:rsidRPr="00415103">
        <w:rPr>
          <w:rFonts w:ascii="Arial" w:hAnsi="Arial" w:cs="Arial"/>
          <w:i/>
          <w:sz w:val="20"/>
          <w:szCs w:val="20"/>
          <w:vertAlign w:val="superscript"/>
        </w:rPr>
        <w:t>1,2,4</w:t>
      </w:r>
      <w:r w:rsidRPr="00415103">
        <w:rPr>
          <w:rFonts w:ascii="Arial" w:hAnsi="Arial" w:cs="Arial"/>
          <w:i/>
          <w:sz w:val="20"/>
          <w:szCs w:val="20"/>
        </w:rPr>
        <w:t>, Dr Jim Tiao</w:t>
      </w:r>
      <w:r w:rsidRPr="00415103">
        <w:rPr>
          <w:rFonts w:ascii="Arial" w:hAnsi="Arial" w:cs="Arial"/>
          <w:i/>
          <w:sz w:val="20"/>
          <w:szCs w:val="20"/>
          <w:vertAlign w:val="superscript"/>
        </w:rPr>
        <w:t>1,2,4</w:t>
      </w:r>
    </w:p>
    <w:p w14:paraId="74F2D0DC" w14:textId="77777777" w:rsidR="00C110CE" w:rsidRPr="00415103" w:rsidRDefault="00C110CE" w:rsidP="00C110CE">
      <w:pPr>
        <w:pStyle w:val="AbstractBookAffiliations"/>
        <w:spacing w:after="0"/>
        <w:rPr>
          <w:rFonts w:ascii="Arial" w:hAnsi="Arial" w:cs="Arial"/>
          <w:iCs/>
          <w:szCs w:val="20"/>
        </w:rPr>
      </w:pPr>
      <w:r w:rsidRPr="00415103">
        <w:rPr>
          <w:rFonts w:ascii="Arial" w:hAnsi="Arial" w:cs="Arial"/>
          <w:iCs/>
          <w:szCs w:val="20"/>
          <w:vertAlign w:val="superscript"/>
        </w:rPr>
        <w:t>1</w:t>
      </w:r>
      <w:r w:rsidRPr="00415103">
        <w:rPr>
          <w:rFonts w:ascii="Arial" w:hAnsi="Arial" w:cs="Arial"/>
          <w:iCs/>
          <w:szCs w:val="20"/>
        </w:rPr>
        <w:t xml:space="preserve">Western Australian Centre for Thrombosis and Haemostasis, Murdoch University, Perth, Australia, </w:t>
      </w:r>
      <w:r w:rsidRPr="00415103">
        <w:rPr>
          <w:rFonts w:ascii="Arial" w:hAnsi="Arial" w:cs="Arial"/>
          <w:iCs/>
          <w:szCs w:val="20"/>
          <w:vertAlign w:val="superscript"/>
        </w:rPr>
        <w:t>2</w:t>
      </w:r>
      <w:r w:rsidRPr="00415103">
        <w:rPr>
          <w:rFonts w:ascii="Arial" w:hAnsi="Arial" w:cs="Arial"/>
          <w:iCs/>
          <w:szCs w:val="20"/>
        </w:rPr>
        <w:t xml:space="preserve">Perth Blood Institute, Perth, Australia, </w:t>
      </w:r>
      <w:r w:rsidRPr="00415103">
        <w:rPr>
          <w:rFonts w:ascii="Arial" w:hAnsi="Arial" w:cs="Arial"/>
          <w:iCs/>
          <w:szCs w:val="20"/>
          <w:vertAlign w:val="superscript"/>
        </w:rPr>
        <w:t>3</w:t>
      </w:r>
      <w:r w:rsidRPr="00415103">
        <w:rPr>
          <w:rFonts w:ascii="Arial" w:hAnsi="Arial" w:cs="Arial"/>
          <w:iCs/>
          <w:szCs w:val="20"/>
        </w:rPr>
        <w:t xml:space="preserve">Discipline of Medical, Molecular and Forensic Sciences, Murdoch University, Perth, Australia, </w:t>
      </w:r>
      <w:r w:rsidRPr="00415103">
        <w:rPr>
          <w:rFonts w:ascii="Arial" w:hAnsi="Arial" w:cs="Arial"/>
          <w:iCs/>
          <w:szCs w:val="20"/>
          <w:vertAlign w:val="superscript"/>
        </w:rPr>
        <w:t>4</w:t>
      </w:r>
      <w:r w:rsidRPr="00415103">
        <w:rPr>
          <w:rFonts w:ascii="Arial" w:hAnsi="Arial" w:cs="Arial"/>
          <w:iCs/>
          <w:szCs w:val="20"/>
        </w:rPr>
        <w:t>Centre for Molecular Medicine and Innovative Therapeutics (CMMIT) blood disorder group, Murdoch University, Perth, Australia</w:t>
      </w:r>
    </w:p>
    <w:p w14:paraId="22437C83" w14:textId="77777777" w:rsidR="00C110CE" w:rsidRPr="00415103" w:rsidRDefault="00C110CE" w:rsidP="00C110CE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15103">
        <w:rPr>
          <w:rFonts w:ascii="Arial" w:hAnsi="Arial" w:cs="Arial"/>
          <w:b/>
          <w:bCs/>
          <w:color w:val="231F20"/>
        </w:rPr>
        <w:t>Aim: </w:t>
      </w:r>
      <w:r w:rsidRPr="00415103">
        <w:rPr>
          <w:rFonts w:ascii="Arial" w:hAnsi="Arial" w:cs="Arial"/>
          <w:color w:val="231F20"/>
          <w:shd w:val="clear" w:color="auto" w:fill="FFFFFF"/>
        </w:rPr>
        <w:t>High oestrogen levels are associated with increased risk of venous thromboembolism (VTE), however, precise mechanisms remain unclear. microRNAs (</w:t>
      </w:r>
      <w:proofErr w:type="spellStart"/>
      <w:r w:rsidRPr="00415103">
        <w:rPr>
          <w:rFonts w:ascii="Arial" w:hAnsi="Arial" w:cs="Arial"/>
          <w:color w:val="231F20"/>
          <w:shd w:val="clear" w:color="auto" w:fill="FFFFFF"/>
        </w:rPr>
        <w:t>miRs</w:t>
      </w:r>
      <w:proofErr w:type="spellEnd"/>
      <w:r w:rsidRPr="00415103">
        <w:rPr>
          <w:rFonts w:ascii="Arial" w:hAnsi="Arial" w:cs="Arial"/>
          <w:color w:val="231F20"/>
          <w:shd w:val="clear" w:color="auto" w:fill="FFFFFF"/>
        </w:rPr>
        <w:t xml:space="preserve">) are implicated in disease progression and are detectable in blood, thus may be potential biomarkers for monitoring oestrogen-mediated VTE. This study determined the expression of three selected oestrogen-responsive </w:t>
      </w:r>
      <w:proofErr w:type="spellStart"/>
      <w:r w:rsidRPr="00415103">
        <w:rPr>
          <w:rFonts w:ascii="Arial" w:hAnsi="Arial" w:cs="Arial"/>
          <w:color w:val="231F20"/>
          <w:shd w:val="clear" w:color="auto" w:fill="FFFFFF"/>
        </w:rPr>
        <w:t>miRs</w:t>
      </w:r>
      <w:proofErr w:type="spellEnd"/>
      <w:r w:rsidRPr="00415103">
        <w:rPr>
          <w:rFonts w:ascii="Arial" w:hAnsi="Arial" w:cs="Arial"/>
          <w:color w:val="231F20"/>
          <w:shd w:val="clear" w:color="auto" w:fill="FFFFFF"/>
        </w:rPr>
        <w:t xml:space="preserve"> (miR-365a-3p, miR-548aa and miR-494-3p), and their respective coagulation factor targets, in cohorts with low or high oestrogen levels.</w:t>
      </w:r>
    </w:p>
    <w:p w14:paraId="120C7958" w14:textId="77777777" w:rsidR="00C110CE" w:rsidRPr="00415103" w:rsidRDefault="00C110CE" w:rsidP="00C110CE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15103">
        <w:rPr>
          <w:rFonts w:ascii="Arial" w:hAnsi="Arial" w:cs="Arial"/>
          <w:b/>
          <w:bCs/>
          <w:color w:val="231F20"/>
        </w:rPr>
        <w:t>Method: </w:t>
      </w:r>
      <w:r w:rsidRPr="00415103">
        <w:rPr>
          <w:rFonts w:ascii="Arial" w:hAnsi="Arial" w:cs="Arial"/>
          <w:color w:val="231F20"/>
          <w:shd w:val="clear" w:color="auto" w:fill="FFFFFF"/>
        </w:rPr>
        <w:t xml:space="preserve">Whole bloods in </w:t>
      </w:r>
      <w:proofErr w:type="spellStart"/>
      <w:r w:rsidRPr="00415103">
        <w:rPr>
          <w:rFonts w:ascii="Arial" w:hAnsi="Arial" w:cs="Arial"/>
          <w:color w:val="231F20"/>
          <w:shd w:val="clear" w:color="auto" w:fill="FFFFFF"/>
        </w:rPr>
        <w:t>PAXgene</w:t>
      </w:r>
      <w:proofErr w:type="spellEnd"/>
      <w:r w:rsidRPr="00415103">
        <w:rPr>
          <w:rFonts w:ascii="Arial" w:hAnsi="Arial" w:cs="Arial"/>
          <w:color w:val="231F20"/>
          <w:shd w:val="clear" w:color="auto" w:fill="FFFFFF"/>
        </w:rPr>
        <w:t xml:space="preserve"> RNA, citrate and EDTA plasma from healthy women without contraceptives (controls) (n=31), on hormone-based contraceptives (n=17), and during pregnancy and post-partum (n=15). Expression of miR-365a-3p, miR-548aa, and miR-494-3p was measured using RT-qPCR. A coagulation factor panel was assessed by ELISA, STA-R</w:t>
      </w:r>
      <w:r w:rsidRPr="00415103">
        <w:rPr>
          <w:rFonts w:ascii="Arial" w:hAnsi="Arial" w:cs="Arial"/>
          <w:bCs/>
          <w:color w:val="231F20"/>
          <w:shd w:val="clear" w:color="auto" w:fill="FFFFFF"/>
          <w:vertAlign w:val="superscript"/>
          <w:lang w:val="en-GB"/>
        </w:rPr>
        <w:t>®</w:t>
      </w:r>
      <w:r w:rsidRPr="00415103">
        <w:rPr>
          <w:rFonts w:ascii="Arial" w:hAnsi="Arial" w:cs="Arial"/>
          <w:color w:val="231F20"/>
          <w:shd w:val="clear" w:color="auto" w:fill="FFFFFF"/>
          <w:lang w:val="en-GB"/>
        </w:rPr>
        <w:t xml:space="preserve"> </w:t>
      </w:r>
      <w:r w:rsidRPr="00415103">
        <w:rPr>
          <w:rFonts w:ascii="Arial" w:hAnsi="Arial" w:cs="Arial"/>
          <w:color w:val="231F20"/>
          <w:shd w:val="clear" w:color="auto" w:fill="FFFFFF"/>
        </w:rPr>
        <w:t xml:space="preserve">analyser, and </w:t>
      </w:r>
      <w:proofErr w:type="spellStart"/>
      <w:r w:rsidRPr="00415103">
        <w:rPr>
          <w:rFonts w:ascii="Arial" w:hAnsi="Arial" w:cs="Arial"/>
          <w:color w:val="231F20"/>
          <w:shd w:val="clear" w:color="auto" w:fill="FFFFFF"/>
        </w:rPr>
        <w:t>Ceveron</w:t>
      </w:r>
      <w:proofErr w:type="spellEnd"/>
      <w:r w:rsidRPr="00415103">
        <w:rPr>
          <w:rFonts w:ascii="Arial" w:hAnsi="Arial" w:cs="Arial"/>
          <w:bCs/>
          <w:color w:val="231F20"/>
          <w:shd w:val="clear" w:color="auto" w:fill="FFFFFF"/>
          <w:vertAlign w:val="superscript"/>
          <w:lang w:val="en-GB"/>
        </w:rPr>
        <w:t>®</w:t>
      </w:r>
      <w:r w:rsidRPr="00415103">
        <w:rPr>
          <w:rFonts w:ascii="Arial" w:hAnsi="Arial" w:cs="Arial"/>
          <w:color w:val="231F20"/>
          <w:shd w:val="clear" w:color="auto" w:fill="FFFFFF"/>
        </w:rPr>
        <w:t xml:space="preserve"> alpha thrombin generation assay. One-way ANOVA was used for statistical analysis.</w:t>
      </w:r>
    </w:p>
    <w:p w14:paraId="0397F0F3" w14:textId="77777777" w:rsidR="00C110CE" w:rsidRPr="00415103" w:rsidRDefault="00C110CE" w:rsidP="00C110CE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415103">
        <w:rPr>
          <w:rFonts w:ascii="Arial" w:hAnsi="Arial" w:cs="Arial"/>
          <w:b/>
          <w:bCs/>
          <w:color w:val="231F20"/>
        </w:rPr>
        <w:t>Results: </w:t>
      </w:r>
      <w:r w:rsidRPr="00415103">
        <w:rPr>
          <w:rFonts w:ascii="Arial" w:hAnsi="Arial" w:cs="Arial"/>
          <w:color w:val="231F20"/>
          <w:shd w:val="clear" w:color="auto" w:fill="FFFFFF"/>
        </w:rPr>
        <w:t xml:space="preserve">Compared to healthy controls, women on contraceptives and during pregnancy had increased expression of miR-365a-3p and miR-548aa (2-fold). Conversely, miR-494-3p expression remained unchanged. Tissue factor and factor VIII activity were increased by ~3.5-fold (P&lt;0.05, contraceptive group) and ~2-fold (P&lt;0.05, the third trimester), respectively, in those with high oestrogen levels. In contrast, total and free protein S decreased by ~30-80 % (P&lt;0.01) in the same group. Moreover, total thrombin generation was ~1.4-fold higher in cohorts with high oestrogen levels (P&lt;0.005), compared to controls. </w:t>
      </w:r>
    </w:p>
    <w:p w14:paraId="770354CB" w14:textId="77777777" w:rsidR="00C110CE" w:rsidRPr="00415103" w:rsidRDefault="00C110CE" w:rsidP="00C110CE">
      <w:pPr>
        <w:rPr>
          <w:rFonts w:ascii="Arial" w:hAnsi="Arial" w:cs="Arial"/>
          <w:b/>
          <w:bCs/>
          <w:color w:val="231F20"/>
        </w:rPr>
      </w:pPr>
      <w:r w:rsidRPr="00415103">
        <w:rPr>
          <w:rFonts w:ascii="Arial" w:hAnsi="Arial" w:cs="Arial"/>
          <w:b/>
          <w:bCs/>
          <w:color w:val="231F20"/>
        </w:rPr>
        <w:t>Conclusion: </w:t>
      </w:r>
    </w:p>
    <w:p w14:paraId="619B9938" w14:textId="3FE137FA" w:rsidR="004514A6" w:rsidRDefault="00C110CE" w:rsidP="00CB52F2">
      <w:r w:rsidRPr="00415103">
        <w:rPr>
          <w:rFonts w:ascii="Arial" w:hAnsi="Arial" w:cs="Arial"/>
          <w:color w:val="231F20"/>
          <w:shd w:val="clear" w:color="auto" w:fill="FFFFFF"/>
        </w:rPr>
        <w:t xml:space="preserve">Females with high oestrogen levels had increased miR-365a-3p and miR-548aa expression, but not miR-494-3p. In </w:t>
      </w:r>
      <w:r w:rsidRPr="00415103">
        <w:rPr>
          <w:rFonts w:ascii="Arial" w:hAnsi="Arial" w:cs="Arial"/>
          <w:i/>
          <w:iCs/>
          <w:color w:val="231F20"/>
          <w:shd w:val="clear" w:color="auto" w:fill="FFFFFF"/>
        </w:rPr>
        <w:t>in vitro</w:t>
      </w:r>
      <w:r w:rsidRPr="00415103">
        <w:rPr>
          <w:rFonts w:ascii="Arial" w:hAnsi="Arial" w:cs="Arial"/>
          <w:color w:val="231F20"/>
          <w:shd w:val="clear" w:color="auto" w:fill="FFFFFF"/>
        </w:rPr>
        <w:t xml:space="preserve"> models, oestrogen-mediated </w:t>
      </w:r>
      <w:proofErr w:type="spellStart"/>
      <w:r w:rsidRPr="00415103">
        <w:rPr>
          <w:rFonts w:ascii="Arial" w:hAnsi="Arial" w:cs="Arial"/>
          <w:color w:val="231F20"/>
          <w:shd w:val="clear" w:color="auto" w:fill="FFFFFF"/>
        </w:rPr>
        <w:t>miR</w:t>
      </w:r>
      <w:proofErr w:type="spellEnd"/>
      <w:r w:rsidRPr="00415103">
        <w:rPr>
          <w:rFonts w:ascii="Arial" w:hAnsi="Arial" w:cs="Arial"/>
          <w:color w:val="231F20"/>
          <w:shd w:val="clear" w:color="auto" w:fill="FFFFFF"/>
        </w:rPr>
        <w:t xml:space="preserve"> expression is different, suggesting oestrogen response may be tissue specific. Furthermore, increased tissue factor and factor VIII activity as well as decreased protein S may contribute toward the hypercoagulable state in those with high oestrogen levels. Taken together, this pilot data suggests oestrogen-responsive miR-365a-3p and miR-548aa may be potential biomarkers to identify the hypercoagulability in cohorts with high oestrogen levels, and warrants further investigation.</w:t>
      </w:r>
    </w:p>
    <w:sectPr w:rsidR="0045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67B5" w14:textId="77777777" w:rsidR="00E136CF" w:rsidRDefault="00E136CF" w:rsidP="00CB52F2">
      <w:r>
        <w:separator/>
      </w:r>
    </w:p>
  </w:endnote>
  <w:endnote w:type="continuationSeparator" w:id="0">
    <w:p w14:paraId="1300E9D9" w14:textId="77777777" w:rsidR="00E136CF" w:rsidRDefault="00E136CF" w:rsidP="00CB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2CFD" w14:textId="77777777" w:rsidR="00E136CF" w:rsidRDefault="00E136CF" w:rsidP="00CB52F2">
      <w:r>
        <w:separator/>
      </w:r>
    </w:p>
  </w:footnote>
  <w:footnote w:type="continuationSeparator" w:id="0">
    <w:p w14:paraId="75794F8F" w14:textId="77777777" w:rsidR="00E136CF" w:rsidRDefault="00E136CF" w:rsidP="00CB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CE"/>
    <w:rsid w:val="00445A0E"/>
    <w:rsid w:val="004514A6"/>
    <w:rsid w:val="00C110CE"/>
    <w:rsid w:val="00CB52F2"/>
    <w:rsid w:val="00E136CF"/>
    <w:rsid w:val="00E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9813A"/>
  <w15:chartTrackingRefBased/>
  <w15:docId w15:val="{48CA291A-FFA8-4B1E-8C3D-21D53285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CE"/>
    <w:pPr>
      <w:spacing w:line="240" w:lineRule="auto"/>
    </w:pPr>
    <w:rPr>
      <w:rFonts w:asciiTheme="minorHAnsi" w:eastAsiaTheme="minorEastAsia" w:hAnsiTheme="minorHAns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BookPaperTitle">
    <w:name w:val="Abstract Book Paper Title"/>
    <w:basedOn w:val="Normal"/>
    <w:rsid w:val="00C110CE"/>
    <w:pPr>
      <w:spacing w:after="144"/>
    </w:pPr>
    <w:rPr>
      <w:sz w:val="32"/>
    </w:rPr>
  </w:style>
  <w:style w:type="paragraph" w:customStyle="1" w:styleId="AbstractBookAuthors">
    <w:name w:val="Abstract Book Authors"/>
    <w:basedOn w:val="Normal"/>
    <w:rsid w:val="00C110CE"/>
    <w:rPr>
      <w:rFonts w:ascii="Calibri Light" w:hAnsi="Calibri Light"/>
    </w:rPr>
  </w:style>
  <w:style w:type="character" w:customStyle="1" w:styleId="AbstractBookPresentingAuthor">
    <w:name w:val="Abstract Book Presenting Author"/>
    <w:basedOn w:val="DefaultParagraphFont"/>
    <w:rsid w:val="00C110CE"/>
    <w:rPr>
      <w:rFonts w:ascii="Calibri Light" w:hAnsi="Calibri Light"/>
      <w:b/>
      <w:vanish w:val="0"/>
      <w:u w:val="single"/>
    </w:rPr>
  </w:style>
  <w:style w:type="paragraph" w:customStyle="1" w:styleId="AbstractBookBaseParagraph">
    <w:name w:val="Abstract Book Base Paragraph"/>
    <w:basedOn w:val="Normal"/>
    <w:rsid w:val="00C110CE"/>
  </w:style>
  <w:style w:type="paragraph" w:customStyle="1" w:styleId="AbstractBookAffiliations">
    <w:name w:val="Abstract Book Affiliations"/>
    <w:basedOn w:val="AbstractBookBaseParagraph"/>
    <w:rsid w:val="00C110CE"/>
    <w:pPr>
      <w:spacing w:after="144"/>
    </w:pPr>
    <w:rPr>
      <w:rFonts w:ascii="Calibri Light" w:hAnsi="Calibri Light"/>
      <w:i/>
      <w:sz w:val="20"/>
    </w:rPr>
  </w:style>
  <w:style w:type="character" w:styleId="CommentReference">
    <w:name w:val="annotation reference"/>
    <w:basedOn w:val="DefaultParagraphFont"/>
    <w:rsid w:val="00C110CE"/>
    <w:rPr>
      <w:rFonts w:eastAsiaTheme="minorHAnsi"/>
      <w:sz w:val="16"/>
      <w:szCs w:val="16"/>
    </w:rPr>
  </w:style>
  <w:style w:type="table" w:styleId="TableGrid">
    <w:name w:val="Table Grid"/>
    <w:basedOn w:val="TableNormal"/>
    <w:uiPriority w:val="59"/>
    <w:rsid w:val="00C110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2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2F2"/>
    <w:rPr>
      <w:rFonts w:asciiTheme="minorHAnsi" w:eastAsiaTheme="minorEastAsia" w:hAnsiTheme="minorHAnsi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CB5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2F2"/>
    <w:rPr>
      <w:rFonts w:asciiTheme="minorHAnsi" w:eastAsiaTheme="minorEastAsia" w:hAnsiTheme="minorHAns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2342</Characters>
  <Application>Microsoft Office Word</Application>
  <DocSecurity>0</DocSecurity>
  <Lines>50</Lines>
  <Paragraphs>16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Aro</dc:creator>
  <cp:keywords/>
  <dc:description/>
  <cp:lastModifiedBy>Megan Sarson</cp:lastModifiedBy>
  <cp:revision>2</cp:revision>
  <dcterms:created xsi:type="dcterms:W3CDTF">2021-09-27T07:35:00Z</dcterms:created>
  <dcterms:modified xsi:type="dcterms:W3CDTF">2021-09-27T07:35:00Z</dcterms:modified>
</cp:coreProperties>
</file>