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1F4C" w14:textId="232FE6A5" w:rsidR="00DB6A91" w:rsidRDefault="00DB6A91" w:rsidP="00116B4D">
      <w:pPr>
        <w:spacing w:after="0" w:line="240" w:lineRule="auto"/>
        <w:jc w:val="both"/>
        <w:rPr>
          <w:rFonts w:ascii="Arial" w:eastAsia="Arial" w:hAnsi="Arial" w:cs="Arial"/>
          <w:color w:val="231F20"/>
        </w:rPr>
      </w:pPr>
      <w:r>
        <w:rPr>
          <w:rFonts w:ascii="Arial" w:eastAsia="Arial" w:hAnsi="Arial" w:cs="Arial"/>
          <w:b/>
        </w:rPr>
        <w:t>Title:</w:t>
      </w:r>
      <w:r w:rsidR="00116B4D">
        <w:rPr>
          <w:rFonts w:ascii="Arial" w:eastAsia="Arial" w:hAnsi="Arial" w:cs="Arial"/>
          <w:b/>
        </w:rPr>
        <w:t xml:space="preserve"> </w:t>
      </w:r>
      <w:r>
        <w:rPr>
          <w:rFonts w:ascii="Arial" w:eastAsia="Arial" w:hAnsi="Arial" w:cs="Arial"/>
          <w:color w:val="231F20"/>
        </w:rPr>
        <w:t>Factor concentrate treatment for haematuria in people with haemophilia is associated with low rates of complications</w:t>
      </w:r>
    </w:p>
    <w:p w14:paraId="7FB013B1" w14:textId="77777777" w:rsidR="00116B4D" w:rsidRPr="00116B4D" w:rsidRDefault="00116B4D" w:rsidP="00116B4D">
      <w:pPr>
        <w:spacing w:after="0" w:line="240" w:lineRule="auto"/>
        <w:jc w:val="both"/>
        <w:rPr>
          <w:rFonts w:ascii="Arial" w:eastAsia="Arial" w:hAnsi="Arial" w:cs="Arial"/>
          <w:b/>
        </w:rPr>
      </w:pPr>
    </w:p>
    <w:p w14:paraId="7669813D" w14:textId="5CAD4F18" w:rsidR="00DB6A91" w:rsidRDefault="00DB6A91" w:rsidP="00116B4D">
      <w:pPr>
        <w:shd w:val="clear" w:color="auto" w:fill="FFFFFF"/>
        <w:spacing w:after="0" w:line="240" w:lineRule="auto"/>
        <w:jc w:val="both"/>
        <w:rPr>
          <w:rFonts w:ascii="Arial" w:eastAsia="Arial" w:hAnsi="Arial" w:cs="Arial"/>
          <w:color w:val="231F20"/>
        </w:rPr>
      </w:pPr>
      <w:r>
        <w:rPr>
          <w:rFonts w:ascii="Arial" w:eastAsia="Arial" w:hAnsi="Arial" w:cs="Arial"/>
          <w:b/>
          <w:color w:val="231F20"/>
        </w:rPr>
        <w:t>Background and Aim: </w:t>
      </w:r>
      <w:r w:rsidR="00116B4D">
        <w:rPr>
          <w:rFonts w:ascii="Arial" w:eastAsia="Arial" w:hAnsi="Arial" w:cs="Arial"/>
          <w:b/>
          <w:color w:val="231F20"/>
        </w:rPr>
        <w:t xml:space="preserve"> </w:t>
      </w:r>
      <w:r>
        <w:rPr>
          <w:rFonts w:ascii="Arial" w:eastAsia="Arial" w:hAnsi="Arial" w:cs="Arial"/>
          <w:color w:val="231F20"/>
        </w:rPr>
        <w:t xml:space="preserve">Evidence guiding optimal management of haematuria in </w:t>
      </w:r>
      <w:r w:rsidR="00AA51EA">
        <w:rPr>
          <w:rFonts w:ascii="Arial" w:eastAsia="Arial" w:hAnsi="Arial" w:cs="Arial"/>
          <w:color w:val="231F20"/>
        </w:rPr>
        <w:t>people</w:t>
      </w:r>
      <w:r>
        <w:rPr>
          <w:rFonts w:ascii="Arial" w:eastAsia="Arial" w:hAnsi="Arial" w:cs="Arial"/>
          <w:color w:val="231F20"/>
        </w:rPr>
        <w:t xml:space="preserve"> with haemophilia (PWH) is scarce. There has been concern that treating haematuria with factor concentrates may contribute to development of ureteric obstruction. This retrospective review was designed to contribute to the available contemporary data regarding optimal management of haematuria in PWH, including underlying aetiology, complications and outcomes. </w:t>
      </w:r>
    </w:p>
    <w:p w14:paraId="7FC023C2" w14:textId="77777777" w:rsidR="00116B4D" w:rsidRPr="00116B4D" w:rsidRDefault="00116B4D" w:rsidP="00116B4D">
      <w:pPr>
        <w:shd w:val="clear" w:color="auto" w:fill="FFFFFF"/>
        <w:spacing w:after="0" w:line="240" w:lineRule="auto"/>
        <w:jc w:val="both"/>
        <w:rPr>
          <w:rFonts w:ascii="Arial" w:eastAsia="Arial" w:hAnsi="Arial" w:cs="Arial"/>
          <w:b/>
          <w:color w:val="231F20"/>
        </w:rPr>
      </w:pPr>
    </w:p>
    <w:p w14:paraId="54B9DF53" w14:textId="5D2C33E0" w:rsidR="00DB6A91" w:rsidRDefault="00DB6A91" w:rsidP="00116B4D">
      <w:pPr>
        <w:shd w:val="clear" w:color="auto" w:fill="FFFFFF"/>
        <w:spacing w:after="0" w:line="240" w:lineRule="auto"/>
        <w:jc w:val="both"/>
        <w:rPr>
          <w:rFonts w:ascii="Arial" w:eastAsia="Arial" w:hAnsi="Arial" w:cs="Arial"/>
          <w:color w:val="231F20"/>
        </w:rPr>
      </w:pPr>
      <w:r>
        <w:rPr>
          <w:rFonts w:ascii="Arial" w:eastAsia="Arial" w:hAnsi="Arial" w:cs="Arial"/>
          <w:b/>
          <w:color w:val="231F20"/>
        </w:rPr>
        <w:t>Method: </w:t>
      </w:r>
      <w:r w:rsidR="00116B4D">
        <w:rPr>
          <w:rFonts w:ascii="Arial" w:eastAsia="Arial" w:hAnsi="Arial" w:cs="Arial"/>
          <w:b/>
          <w:color w:val="231F20"/>
        </w:rPr>
        <w:t xml:space="preserve"> </w:t>
      </w:r>
      <w:r>
        <w:rPr>
          <w:rFonts w:ascii="Arial" w:eastAsia="Arial" w:hAnsi="Arial" w:cs="Arial"/>
          <w:color w:val="231F20"/>
        </w:rPr>
        <w:t>This single-centre retrospective observational study was conducted at the State Haemophilia Treatment Centre in Victoria, Australia. We identified 28 haemophilia patients admitted with haematuria using ICD codes, between January 2012 and December 2020. Data regarding demographics, severity, aetiology, treatment, and complications was collected and analysed. The median follow-up was 62 months from initial diagnosis.</w:t>
      </w:r>
    </w:p>
    <w:p w14:paraId="03CF0C5E" w14:textId="77777777" w:rsidR="00116B4D" w:rsidRPr="00116B4D" w:rsidRDefault="00116B4D" w:rsidP="00116B4D">
      <w:pPr>
        <w:shd w:val="clear" w:color="auto" w:fill="FFFFFF"/>
        <w:spacing w:after="0" w:line="240" w:lineRule="auto"/>
        <w:jc w:val="both"/>
        <w:rPr>
          <w:rFonts w:ascii="Arial" w:eastAsia="Arial" w:hAnsi="Arial" w:cs="Arial"/>
          <w:b/>
          <w:color w:val="231F20"/>
        </w:rPr>
      </w:pPr>
    </w:p>
    <w:p w14:paraId="78558D5D" w14:textId="391A2C85" w:rsidR="00116B4D" w:rsidRDefault="00DB6A91" w:rsidP="00116B4D">
      <w:pPr>
        <w:spacing w:after="0" w:line="240" w:lineRule="auto"/>
        <w:jc w:val="both"/>
        <w:rPr>
          <w:rFonts w:ascii="Arial" w:eastAsia="Arial" w:hAnsi="Arial" w:cs="Arial"/>
        </w:rPr>
      </w:pPr>
      <w:r>
        <w:rPr>
          <w:rFonts w:ascii="Arial" w:eastAsia="Arial" w:hAnsi="Arial" w:cs="Arial"/>
          <w:b/>
          <w:color w:val="231F20"/>
        </w:rPr>
        <w:t>Results: </w:t>
      </w:r>
      <w:r w:rsidR="00116B4D">
        <w:rPr>
          <w:rFonts w:ascii="Arial" w:eastAsia="Arial" w:hAnsi="Arial" w:cs="Arial"/>
          <w:b/>
          <w:color w:val="231F20"/>
        </w:rPr>
        <w:t xml:space="preserve"> </w:t>
      </w:r>
      <w:r>
        <w:rPr>
          <w:rFonts w:ascii="Arial" w:eastAsia="Arial" w:hAnsi="Arial" w:cs="Arial"/>
          <w:color w:val="231F20"/>
        </w:rPr>
        <w:t xml:space="preserve">The baseline characteristics of our population are shown in Table 1. Three (10.7%) patients experienced major bleeding as per ISTH definition, and an underlying cause was found in 13 patients (46.4%), of which ureteric calculi were most common. The median duration of haematuria and length of stay (LOS) in hospital were both 5 days. </w:t>
      </w:r>
      <w:r>
        <w:rPr>
          <w:rFonts w:ascii="Arial" w:eastAsia="Arial" w:hAnsi="Arial" w:cs="Arial"/>
          <w:highlight w:val="white"/>
        </w:rPr>
        <w:t xml:space="preserve">Those receiving regular prophylaxis had a slightly shorter </w:t>
      </w:r>
      <w:r w:rsidRPr="00091360">
        <w:rPr>
          <w:rFonts w:ascii="Arial" w:eastAsia="Arial" w:hAnsi="Arial" w:cs="Arial"/>
        </w:rPr>
        <w:t xml:space="preserve">duration of haematuria (5.0 vs 6.0 days, p=0.74) and LOS (2.5 vs 6.5 days, p=0.06) compared to those receiving on-demand. While treatment </w:t>
      </w:r>
      <w:r>
        <w:rPr>
          <w:rFonts w:ascii="Arial" w:eastAsia="Arial" w:hAnsi="Arial" w:cs="Arial"/>
        </w:rPr>
        <w:t xml:space="preserve">of the haematuria </w:t>
      </w:r>
      <w:r w:rsidRPr="00091360">
        <w:rPr>
          <w:rFonts w:ascii="Arial" w:eastAsia="Arial" w:hAnsi="Arial" w:cs="Arial"/>
        </w:rPr>
        <w:t>with factor replacement</w:t>
      </w:r>
      <w:r w:rsidRPr="00091360">
        <w:rPr>
          <w:rFonts w:ascii="Arial" w:eastAsia="Arial" w:hAnsi="Arial" w:cs="Arial"/>
          <w:color w:val="000000"/>
        </w:rPr>
        <w:t xml:space="preserve"> </w:t>
      </w:r>
      <w:r w:rsidRPr="00091360">
        <w:rPr>
          <w:rFonts w:ascii="Arial" w:eastAsia="Arial" w:hAnsi="Arial" w:cs="Arial"/>
        </w:rPr>
        <w:t>did not reduce LOS (4.0 vs 5.0 days, p=0.64) or duration of</w:t>
      </w:r>
      <w:r w:rsidRPr="00091360">
        <w:rPr>
          <w:rFonts w:ascii="Arial" w:eastAsia="Arial" w:hAnsi="Arial" w:cs="Arial"/>
          <w:color w:val="000000"/>
        </w:rPr>
        <w:t xml:space="preserve"> haematuria (5.0 vs 5.0 days, p=</w:t>
      </w:r>
      <w:r w:rsidRPr="00091360">
        <w:rPr>
          <w:rFonts w:ascii="Arial" w:eastAsia="Arial" w:hAnsi="Arial" w:cs="Arial"/>
        </w:rPr>
        <w:t>0.44), there were few complications, in particular rates of ureteric obstruction or clot retention (1 patient that received factor, 2 that did not)</w:t>
      </w:r>
      <w:r w:rsidRPr="00091360">
        <w:rPr>
          <w:rFonts w:ascii="Arial" w:eastAsia="Arial" w:hAnsi="Arial" w:cs="Arial"/>
          <w:color w:val="000000"/>
        </w:rPr>
        <w:t xml:space="preserve">. </w:t>
      </w:r>
      <w:r w:rsidRPr="00091360">
        <w:rPr>
          <w:rFonts w:ascii="Arial" w:eastAsia="Arial" w:hAnsi="Arial" w:cs="Arial"/>
        </w:rPr>
        <w:t xml:space="preserve">Patients with more comorbidities (&gt;/=2) had longer LOS (10.0 vs 4.0 days, </w:t>
      </w:r>
      <w:r>
        <w:rPr>
          <w:rFonts w:ascii="Arial" w:eastAsia="Arial" w:hAnsi="Arial" w:cs="Arial"/>
          <w:highlight w:val="white"/>
        </w:rPr>
        <w:t xml:space="preserve">p=0.12) and haematuria duration (8.0 vs 4.0, p=0.12). </w:t>
      </w:r>
    </w:p>
    <w:p w14:paraId="3C2AB0E6" w14:textId="77777777" w:rsidR="00116B4D" w:rsidRDefault="00116B4D" w:rsidP="00116B4D">
      <w:pPr>
        <w:spacing w:after="0" w:line="240" w:lineRule="auto"/>
        <w:jc w:val="both"/>
        <w:rPr>
          <w:rFonts w:ascii="Arial" w:eastAsia="Arial" w:hAnsi="Arial" w:cs="Arial"/>
        </w:rPr>
      </w:pPr>
    </w:p>
    <w:p w14:paraId="5A359EBF" w14:textId="7FFFAF41" w:rsidR="00DB6A91" w:rsidRDefault="00116B4D" w:rsidP="00116B4D">
      <w:pPr>
        <w:spacing w:after="0" w:line="240" w:lineRule="auto"/>
        <w:jc w:val="both"/>
        <w:rPr>
          <w:rFonts w:ascii="Arial" w:eastAsia="Arial" w:hAnsi="Arial" w:cs="Arial"/>
          <w:color w:val="000000"/>
        </w:rPr>
      </w:pPr>
      <w:r>
        <w:rPr>
          <w:rFonts w:ascii="Arial" w:eastAsia="Arial" w:hAnsi="Arial" w:cs="Arial"/>
          <w:b/>
          <w:color w:val="231F20"/>
        </w:rPr>
        <w:t>Conclusion: </w:t>
      </w:r>
      <w:r>
        <w:rPr>
          <w:rFonts w:ascii="Arial" w:eastAsia="Arial" w:hAnsi="Arial" w:cs="Arial"/>
          <w:color w:val="000000"/>
        </w:rPr>
        <w:t>Treatment of haematuria with factor concentrates appears to be safe with low rates of complications among PWH presenting with haematuria. The strongest predictor of LOS and duration of haematuria is</w:t>
      </w:r>
      <w:r>
        <w:rPr>
          <w:rFonts w:ascii="Arial" w:eastAsia="Arial" w:hAnsi="Arial" w:cs="Arial"/>
        </w:rPr>
        <w:t xml:space="preserve"> the number</w:t>
      </w:r>
      <w:r>
        <w:rPr>
          <w:rFonts w:ascii="Arial" w:eastAsia="Arial" w:hAnsi="Arial" w:cs="Arial"/>
          <w:color w:val="000000"/>
        </w:rPr>
        <w:t xml:space="preserve"> of comorbidities. </w:t>
      </w:r>
    </w:p>
    <w:p w14:paraId="0EF347C1" w14:textId="77777777" w:rsidR="00116B4D" w:rsidRPr="00116B4D" w:rsidRDefault="00116B4D" w:rsidP="00116B4D">
      <w:pPr>
        <w:spacing w:after="0" w:line="240" w:lineRule="auto"/>
        <w:jc w:val="both"/>
        <w:rPr>
          <w:rFonts w:ascii="Arial" w:eastAsia="Arial" w:hAnsi="Arial" w:cs="Arial"/>
          <w:color w:val="000000"/>
        </w:rPr>
      </w:pPr>
    </w:p>
    <w:tbl>
      <w:tblPr>
        <w:tblStyle w:val="ListTable2"/>
        <w:tblW w:w="0" w:type="auto"/>
        <w:tblLook w:val="04A0" w:firstRow="1" w:lastRow="0" w:firstColumn="1" w:lastColumn="0" w:noHBand="0" w:noVBand="1"/>
      </w:tblPr>
      <w:tblGrid>
        <w:gridCol w:w="3261"/>
        <w:gridCol w:w="1417"/>
        <w:gridCol w:w="1063"/>
      </w:tblGrid>
      <w:tr w:rsidR="00116B4D" w:rsidRPr="00DB6A91" w14:paraId="5C02BC58" w14:textId="77777777" w:rsidTr="00116B4D">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3EB91B8E" w14:textId="77777777" w:rsidR="00116B4D" w:rsidRPr="00DB6A91" w:rsidRDefault="00116B4D" w:rsidP="00116B4D">
            <w:pPr>
              <w:spacing w:after="0" w:line="240" w:lineRule="auto"/>
              <w:rPr>
                <w:rFonts w:ascii="Arial" w:hAnsi="Arial" w:cs="Arial"/>
                <w:color w:val="000000" w:themeColor="text1"/>
                <w:sz w:val="17"/>
                <w:szCs w:val="17"/>
              </w:rPr>
            </w:pPr>
          </w:p>
        </w:tc>
        <w:tc>
          <w:tcPr>
            <w:tcW w:w="1417" w:type="dxa"/>
          </w:tcPr>
          <w:p w14:paraId="5E62EBB4" w14:textId="77777777" w:rsidR="00116B4D" w:rsidRPr="00DB6A91" w:rsidRDefault="00116B4D" w:rsidP="00116B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n</w:t>
            </w:r>
          </w:p>
        </w:tc>
        <w:tc>
          <w:tcPr>
            <w:tcW w:w="1063" w:type="dxa"/>
          </w:tcPr>
          <w:p w14:paraId="13F93F6C" w14:textId="77777777" w:rsidR="00116B4D" w:rsidRPr="00DB6A91" w:rsidRDefault="00116B4D" w:rsidP="00116B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w:t>
            </w:r>
          </w:p>
        </w:tc>
      </w:tr>
      <w:tr w:rsidR="00116B4D" w:rsidRPr="00DB6A91" w14:paraId="415AC929"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700058F4" w14:textId="77777777" w:rsidR="00116B4D" w:rsidRPr="00DB6A91" w:rsidRDefault="00116B4D" w:rsidP="00116B4D">
            <w:pPr>
              <w:spacing w:after="0" w:line="240" w:lineRule="auto"/>
              <w:rPr>
                <w:rFonts w:ascii="Arial" w:hAnsi="Arial" w:cs="Arial"/>
                <w:color w:val="000000" w:themeColor="text1"/>
                <w:sz w:val="17"/>
                <w:szCs w:val="17"/>
              </w:rPr>
            </w:pPr>
            <w:r w:rsidRPr="00DB6A91">
              <w:rPr>
                <w:rFonts w:ascii="Arial" w:hAnsi="Arial" w:cs="Arial"/>
                <w:color w:val="000000" w:themeColor="text1"/>
                <w:sz w:val="17"/>
                <w:szCs w:val="17"/>
              </w:rPr>
              <w:t>Type</w:t>
            </w:r>
            <w:r>
              <w:rPr>
                <w:rFonts w:ascii="Arial" w:hAnsi="Arial" w:cs="Arial"/>
                <w:color w:val="000000" w:themeColor="text1"/>
                <w:sz w:val="17"/>
                <w:szCs w:val="17"/>
              </w:rPr>
              <w:t xml:space="preserve"> of haemophilia</w:t>
            </w:r>
          </w:p>
        </w:tc>
        <w:tc>
          <w:tcPr>
            <w:tcW w:w="1417" w:type="dxa"/>
          </w:tcPr>
          <w:p w14:paraId="58617270"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p>
        </w:tc>
        <w:tc>
          <w:tcPr>
            <w:tcW w:w="1063" w:type="dxa"/>
          </w:tcPr>
          <w:p w14:paraId="2D701ECF"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p>
        </w:tc>
      </w:tr>
      <w:tr w:rsidR="00116B4D" w:rsidRPr="00DB6A91" w14:paraId="03847729"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52E3FB31"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Haemophilia A</w:t>
            </w:r>
          </w:p>
        </w:tc>
        <w:tc>
          <w:tcPr>
            <w:tcW w:w="1417" w:type="dxa"/>
          </w:tcPr>
          <w:p w14:paraId="0F2863B7"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19</w:t>
            </w:r>
          </w:p>
        </w:tc>
        <w:tc>
          <w:tcPr>
            <w:tcW w:w="1063" w:type="dxa"/>
          </w:tcPr>
          <w:p w14:paraId="1B861FF3"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(67.9)</w:t>
            </w:r>
          </w:p>
        </w:tc>
      </w:tr>
      <w:tr w:rsidR="00116B4D" w:rsidRPr="00DB6A91" w14:paraId="10D07E99"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0BDC171F"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Haemophilia B</w:t>
            </w:r>
          </w:p>
        </w:tc>
        <w:tc>
          <w:tcPr>
            <w:tcW w:w="1417" w:type="dxa"/>
          </w:tcPr>
          <w:p w14:paraId="156FAEB8"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9</w:t>
            </w:r>
          </w:p>
        </w:tc>
        <w:tc>
          <w:tcPr>
            <w:tcW w:w="1063" w:type="dxa"/>
          </w:tcPr>
          <w:p w14:paraId="788E93FE"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(32.1)</w:t>
            </w:r>
          </w:p>
        </w:tc>
      </w:tr>
      <w:tr w:rsidR="00116B4D" w:rsidRPr="00DB6A91" w14:paraId="53207BC2"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299568DC"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 xml:space="preserve">Total </w:t>
            </w:r>
          </w:p>
        </w:tc>
        <w:tc>
          <w:tcPr>
            <w:tcW w:w="1417" w:type="dxa"/>
          </w:tcPr>
          <w:p w14:paraId="63E47904"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28</w:t>
            </w:r>
          </w:p>
        </w:tc>
        <w:tc>
          <w:tcPr>
            <w:tcW w:w="1063" w:type="dxa"/>
          </w:tcPr>
          <w:p w14:paraId="4F037807"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p>
        </w:tc>
      </w:tr>
      <w:tr w:rsidR="00116B4D" w:rsidRPr="00DB6A91" w14:paraId="55F778CA"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2038ABCD" w14:textId="77777777" w:rsidR="00116B4D" w:rsidRPr="00DB6A91" w:rsidRDefault="00116B4D" w:rsidP="00116B4D">
            <w:pPr>
              <w:spacing w:after="0" w:line="240" w:lineRule="auto"/>
              <w:rPr>
                <w:rFonts w:ascii="Arial" w:hAnsi="Arial" w:cs="Arial"/>
                <w:color w:val="000000" w:themeColor="text1"/>
                <w:sz w:val="17"/>
                <w:szCs w:val="17"/>
              </w:rPr>
            </w:pPr>
            <w:r w:rsidRPr="00DB6A91">
              <w:rPr>
                <w:rFonts w:ascii="Arial" w:hAnsi="Arial" w:cs="Arial"/>
                <w:color w:val="000000" w:themeColor="text1"/>
                <w:sz w:val="17"/>
                <w:szCs w:val="17"/>
              </w:rPr>
              <w:t xml:space="preserve">Severity </w:t>
            </w:r>
          </w:p>
        </w:tc>
        <w:tc>
          <w:tcPr>
            <w:tcW w:w="1417" w:type="dxa"/>
          </w:tcPr>
          <w:p w14:paraId="3923A7A6"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p>
        </w:tc>
        <w:tc>
          <w:tcPr>
            <w:tcW w:w="1063" w:type="dxa"/>
          </w:tcPr>
          <w:p w14:paraId="27E34C6B"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p>
        </w:tc>
      </w:tr>
      <w:tr w:rsidR="00116B4D" w:rsidRPr="00DB6A91" w14:paraId="197B8523"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11E1C802"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Mild (&gt;5%)</w:t>
            </w:r>
          </w:p>
        </w:tc>
        <w:tc>
          <w:tcPr>
            <w:tcW w:w="1417" w:type="dxa"/>
          </w:tcPr>
          <w:p w14:paraId="1DC2BA6A"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8</w:t>
            </w:r>
          </w:p>
        </w:tc>
        <w:tc>
          <w:tcPr>
            <w:tcW w:w="1063" w:type="dxa"/>
          </w:tcPr>
          <w:p w14:paraId="52762523"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(28.6)</w:t>
            </w:r>
          </w:p>
        </w:tc>
      </w:tr>
      <w:tr w:rsidR="00116B4D" w:rsidRPr="00DB6A91" w14:paraId="64361ADB"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32AF45E4"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Moderate (1-5%)</w:t>
            </w:r>
          </w:p>
        </w:tc>
        <w:tc>
          <w:tcPr>
            <w:tcW w:w="1417" w:type="dxa"/>
          </w:tcPr>
          <w:p w14:paraId="0918FBD2"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2</w:t>
            </w:r>
          </w:p>
        </w:tc>
        <w:tc>
          <w:tcPr>
            <w:tcW w:w="1063" w:type="dxa"/>
          </w:tcPr>
          <w:p w14:paraId="1E815F6A"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(7.1)</w:t>
            </w:r>
          </w:p>
        </w:tc>
      </w:tr>
      <w:tr w:rsidR="00116B4D" w:rsidRPr="00DB6A91" w14:paraId="17C120A9"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0AB129FD"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Severe (&lt;1%)</w:t>
            </w:r>
          </w:p>
        </w:tc>
        <w:tc>
          <w:tcPr>
            <w:tcW w:w="1417" w:type="dxa"/>
          </w:tcPr>
          <w:p w14:paraId="49A48E00"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18</w:t>
            </w:r>
          </w:p>
        </w:tc>
        <w:tc>
          <w:tcPr>
            <w:tcW w:w="1063" w:type="dxa"/>
          </w:tcPr>
          <w:p w14:paraId="48E86D97"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(64.3)</w:t>
            </w:r>
          </w:p>
        </w:tc>
      </w:tr>
      <w:tr w:rsidR="00116B4D" w:rsidRPr="00DB6A91" w14:paraId="2DD38BDB"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670EAEF6" w14:textId="77777777" w:rsidR="00116B4D" w:rsidRPr="00DB6A91" w:rsidRDefault="00116B4D" w:rsidP="00116B4D">
            <w:pPr>
              <w:spacing w:after="0" w:line="240" w:lineRule="auto"/>
              <w:rPr>
                <w:rFonts w:ascii="Arial" w:hAnsi="Arial" w:cs="Arial"/>
                <w:b w:val="0"/>
                <w:bCs w:val="0"/>
                <w:color w:val="000000" w:themeColor="text1"/>
                <w:sz w:val="17"/>
                <w:szCs w:val="17"/>
              </w:rPr>
            </w:pPr>
            <w:r w:rsidRPr="00DB6A91">
              <w:rPr>
                <w:rFonts w:ascii="Arial" w:hAnsi="Arial" w:cs="Arial"/>
                <w:color w:val="000000" w:themeColor="text1"/>
                <w:sz w:val="17"/>
                <w:szCs w:val="17"/>
              </w:rPr>
              <w:t>Age</w:t>
            </w:r>
            <w:r>
              <w:rPr>
                <w:rFonts w:ascii="Arial" w:hAnsi="Arial" w:cs="Arial"/>
                <w:color w:val="000000" w:themeColor="text1"/>
                <w:sz w:val="17"/>
                <w:szCs w:val="17"/>
              </w:rPr>
              <w:t>, years</w:t>
            </w:r>
            <w:r w:rsidRPr="00DB6A91">
              <w:rPr>
                <w:rFonts w:ascii="Arial" w:hAnsi="Arial" w:cs="Arial"/>
                <w:color w:val="000000" w:themeColor="text1"/>
                <w:sz w:val="17"/>
                <w:szCs w:val="17"/>
              </w:rPr>
              <w:t xml:space="preserve">     </w:t>
            </w:r>
            <w:r w:rsidRPr="00DB6A91">
              <w:rPr>
                <w:rFonts w:ascii="Arial" w:hAnsi="Arial" w:cs="Arial"/>
                <w:b w:val="0"/>
                <w:bCs w:val="0"/>
                <w:i/>
                <w:iCs/>
                <w:color w:val="000000" w:themeColor="text1"/>
                <w:sz w:val="17"/>
                <w:szCs w:val="17"/>
              </w:rPr>
              <w:t>Median (IQR)</w:t>
            </w:r>
          </w:p>
        </w:tc>
        <w:tc>
          <w:tcPr>
            <w:tcW w:w="1417" w:type="dxa"/>
          </w:tcPr>
          <w:p w14:paraId="395AFCB8"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34.5</w:t>
            </w:r>
            <w:r>
              <w:rPr>
                <w:rFonts w:ascii="Arial" w:hAnsi="Arial" w:cs="Arial"/>
                <w:color w:val="000000" w:themeColor="text1"/>
                <w:sz w:val="17"/>
                <w:szCs w:val="17"/>
              </w:rPr>
              <w:t xml:space="preserve"> (25-58.3)</w:t>
            </w:r>
          </w:p>
        </w:tc>
        <w:tc>
          <w:tcPr>
            <w:tcW w:w="1063" w:type="dxa"/>
          </w:tcPr>
          <w:p w14:paraId="729DE127"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p>
        </w:tc>
      </w:tr>
      <w:tr w:rsidR="00116B4D" w:rsidRPr="00DB6A91" w14:paraId="24BFA265"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27A91F9C" w14:textId="77777777" w:rsidR="00116B4D" w:rsidRPr="00DB6A91" w:rsidRDefault="00116B4D" w:rsidP="00116B4D">
            <w:pPr>
              <w:spacing w:after="0" w:line="240" w:lineRule="auto"/>
              <w:rPr>
                <w:rFonts w:ascii="Arial" w:hAnsi="Arial" w:cs="Arial"/>
                <w:color w:val="000000" w:themeColor="text1"/>
                <w:sz w:val="17"/>
                <w:szCs w:val="17"/>
              </w:rPr>
            </w:pPr>
            <w:r w:rsidRPr="00DB6A91">
              <w:rPr>
                <w:rFonts w:ascii="Arial" w:hAnsi="Arial" w:cs="Arial"/>
                <w:color w:val="000000" w:themeColor="text1"/>
                <w:sz w:val="17"/>
                <w:szCs w:val="17"/>
              </w:rPr>
              <w:t>Sex</w:t>
            </w:r>
          </w:p>
        </w:tc>
        <w:tc>
          <w:tcPr>
            <w:tcW w:w="1417" w:type="dxa"/>
          </w:tcPr>
          <w:p w14:paraId="1E2E6F5A"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p>
        </w:tc>
        <w:tc>
          <w:tcPr>
            <w:tcW w:w="1063" w:type="dxa"/>
          </w:tcPr>
          <w:p w14:paraId="767294B4"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p>
        </w:tc>
      </w:tr>
      <w:tr w:rsidR="00116B4D" w:rsidRPr="00DB6A91" w14:paraId="1F14DCD9"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66C5D0D5"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Male</w:t>
            </w:r>
          </w:p>
        </w:tc>
        <w:tc>
          <w:tcPr>
            <w:tcW w:w="1417" w:type="dxa"/>
          </w:tcPr>
          <w:p w14:paraId="4DE97AE8"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27</w:t>
            </w:r>
          </w:p>
        </w:tc>
        <w:tc>
          <w:tcPr>
            <w:tcW w:w="1063" w:type="dxa"/>
          </w:tcPr>
          <w:p w14:paraId="111CF5F8"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(96.4)</w:t>
            </w:r>
          </w:p>
        </w:tc>
      </w:tr>
      <w:tr w:rsidR="00116B4D" w:rsidRPr="00DB6A91" w14:paraId="18BD2826"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7E693BAF"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Female</w:t>
            </w:r>
          </w:p>
        </w:tc>
        <w:tc>
          <w:tcPr>
            <w:tcW w:w="1417" w:type="dxa"/>
          </w:tcPr>
          <w:p w14:paraId="26239406"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w:t>
            </w:r>
          </w:p>
        </w:tc>
        <w:tc>
          <w:tcPr>
            <w:tcW w:w="1063" w:type="dxa"/>
          </w:tcPr>
          <w:p w14:paraId="3DF26FF0"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(3.6)</w:t>
            </w:r>
          </w:p>
        </w:tc>
      </w:tr>
      <w:tr w:rsidR="00116B4D" w:rsidRPr="00DB6A91" w14:paraId="052BCEB6"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2BBA0B1A" w14:textId="77777777" w:rsidR="00116B4D" w:rsidRPr="00DB6A91" w:rsidRDefault="00116B4D" w:rsidP="00116B4D">
            <w:pPr>
              <w:spacing w:after="0" w:line="240" w:lineRule="auto"/>
              <w:rPr>
                <w:rFonts w:ascii="Arial" w:hAnsi="Arial" w:cs="Arial"/>
                <w:b w:val="0"/>
                <w:bCs w:val="0"/>
                <w:color w:val="000000" w:themeColor="text1"/>
                <w:sz w:val="17"/>
                <w:szCs w:val="17"/>
              </w:rPr>
            </w:pPr>
            <w:r w:rsidRPr="00DB6A91">
              <w:rPr>
                <w:rFonts w:ascii="Arial" w:hAnsi="Arial" w:cs="Arial"/>
                <w:color w:val="000000" w:themeColor="text1"/>
                <w:sz w:val="17"/>
                <w:szCs w:val="17"/>
              </w:rPr>
              <w:t>Regular Haemophilia Treatment</w:t>
            </w:r>
          </w:p>
        </w:tc>
        <w:tc>
          <w:tcPr>
            <w:tcW w:w="1417" w:type="dxa"/>
          </w:tcPr>
          <w:p w14:paraId="1B48C15C"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p>
        </w:tc>
        <w:tc>
          <w:tcPr>
            <w:tcW w:w="1063" w:type="dxa"/>
          </w:tcPr>
          <w:p w14:paraId="512EA2E3"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p>
        </w:tc>
      </w:tr>
      <w:tr w:rsidR="00116B4D" w:rsidRPr="00DB6A91" w14:paraId="2EC8B3B6"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7CA5D356" w14:textId="77777777" w:rsidR="00116B4D" w:rsidRPr="00DB6A91" w:rsidRDefault="00116B4D" w:rsidP="00116B4D">
            <w:pPr>
              <w:spacing w:after="0" w:line="240" w:lineRule="auto"/>
              <w:ind w:left="720"/>
              <w:rPr>
                <w:rFonts w:ascii="Arial" w:hAnsi="Arial" w:cs="Arial"/>
                <w:color w:val="000000" w:themeColor="text1"/>
                <w:sz w:val="17"/>
                <w:szCs w:val="17"/>
              </w:rPr>
            </w:pPr>
            <w:r w:rsidRPr="00DB6A91">
              <w:rPr>
                <w:rFonts w:ascii="Arial" w:hAnsi="Arial" w:cs="Arial"/>
                <w:b w:val="0"/>
                <w:bCs w:val="0"/>
                <w:color w:val="000000" w:themeColor="text1"/>
                <w:sz w:val="17"/>
                <w:szCs w:val="17"/>
              </w:rPr>
              <w:t>Prophylaxis</w:t>
            </w:r>
          </w:p>
        </w:tc>
        <w:tc>
          <w:tcPr>
            <w:tcW w:w="1417" w:type="dxa"/>
          </w:tcPr>
          <w:p w14:paraId="00A9856E"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14</w:t>
            </w:r>
          </w:p>
        </w:tc>
        <w:tc>
          <w:tcPr>
            <w:tcW w:w="1063" w:type="dxa"/>
          </w:tcPr>
          <w:p w14:paraId="027071C1"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(50.0)</w:t>
            </w:r>
          </w:p>
        </w:tc>
      </w:tr>
      <w:tr w:rsidR="00116B4D" w:rsidRPr="00DB6A91" w14:paraId="077C6DA9"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64A30DBD"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 xml:space="preserve">On Demand </w:t>
            </w:r>
          </w:p>
        </w:tc>
        <w:tc>
          <w:tcPr>
            <w:tcW w:w="1417" w:type="dxa"/>
          </w:tcPr>
          <w:p w14:paraId="5E52FB30"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14</w:t>
            </w:r>
          </w:p>
        </w:tc>
        <w:tc>
          <w:tcPr>
            <w:tcW w:w="1063" w:type="dxa"/>
          </w:tcPr>
          <w:p w14:paraId="307B5BC5"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(50.0)</w:t>
            </w:r>
          </w:p>
        </w:tc>
      </w:tr>
      <w:tr w:rsidR="00116B4D" w:rsidRPr="00DB6A91" w14:paraId="4C0DDFEA"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4B879EBF" w14:textId="77777777" w:rsidR="00116B4D" w:rsidRPr="00DB6A91" w:rsidRDefault="00116B4D" w:rsidP="00116B4D">
            <w:pPr>
              <w:spacing w:after="0" w:line="240" w:lineRule="auto"/>
              <w:rPr>
                <w:rFonts w:ascii="Arial" w:hAnsi="Arial" w:cs="Arial"/>
                <w:color w:val="000000" w:themeColor="text1"/>
                <w:sz w:val="17"/>
                <w:szCs w:val="17"/>
              </w:rPr>
            </w:pPr>
            <w:r w:rsidRPr="00DB6A91">
              <w:rPr>
                <w:rFonts w:ascii="Arial" w:hAnsi="Arial" w:cs="Arial"/>
                <w:color w:val="000000" w:themeColor="text1"/>
                <w:sz w:val="17"/>
                <w:szCs w:val="17"/>
              </w:rPr>
              <w:t>Inhibitor Present</w:t>
            </w:r>
          </w:p>
        </w:tc>
        <w:tc>
          <w:tcPr>
            <w:tcW w:w="1417" w:type="dxa"/>
          </w:tcPr>
          <w:p w14:paraId="2CE1E1A0"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p>
        </w:tc>
        <w:tc>
          <w:tcPr>
            <w:tcW w:w="1063" w:type="dxa"/>
          </w:tcPr>
          <w:p w14:paraId="7099819A"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p>
        </w:tc>
      </w:tr>
      <w:tr w:rsidR="00116B4D" w:rsidRPr="00DB6A91" w14:paraId="2A474A22"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4B53EE4C"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Yes</w:t>
            </w:r>
          </w:p>
        </w:tc>
        <w:tc>
          <w:tcPr>
            <w:tcW w:w="1417" w:type="dxa"/>
          </w:tcPr>
          <w:p w14:paraId="6DE9AEBA"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4</w:t>
            </w:r>
          </w:p>
        </w:tc>
        <w:tc>
          <w:tcPr>
            <w:tcW w:w="1063" w:type="dxa"/>
          </w:tcPr>
          <w:p w14:paraId="38E0FC99"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(14.3)</w:t>
            </w:r>
          </w:p>
        </w:tc>
      </w:tr>
      <w:tr w:rsidR="00116B4D" w:rsidRPr="00DB6A91" w14:paraId="64B78C1D"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0BF3B7F2"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 xml:space="preserve">No </w:t>
            </w:r>
          </w:p>
        </w:tc>
        <w:tc>
          <w:tcPr>
            <w:tcW w:w="1417" w:type="dxa"/>
          </w:tcPr>
          <w:p w14:paraId="1FE47E3B"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24</w:t>
            </w:r>
          </w:p>
        </w:tc>
        <w:tc>
          <w:tcPr>
            <w:tcW w:w="1063" w:type="dxa"/>
          </w:tcPr>
          <w:p w14:paraId="1BCB6392"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(85.7)</w:t>
            </w:r>
          </w:p>
        </w:tc>
      </w:tr>
      <w:tr w:rsidR="00116B4D" w:rsidRPr="00DB6A91" w14:paraId="7AD8EC48"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70871796" w14:textId="77777777" w:rsidR="00116B4D" w:rsidRPr="00DB6A91" w:rsidRDefault="00116B4D" w:rsidP="00116B4D">
            <w:pPr>
              <w:spacing w:after="0" w:line="240" w:lineRule="auto"/>
              <w:rPr>
                <w:rFonts w:ascii="Arial" w:hAnsi="Arial" w:cs="Arial"/>
                <w:color w:val="000000" w:themeColor="text1"/>
                <w:sz w:val="17"/>
                <w:szCs w:val="17"/>
              </w:rPr>
            </w:pPr>
            <w:r w:rsidRPr="00DB6A91">
              <w:rPr>
                <w:rFonts w:ascii="Arial" w:hAnsi="Arial" w:cs="Arial"/>
                <w:color w:val="000000" w:themeColor="text1"/>
                <w:sz w:val="17"/>
                <w:szCs w:val="17"/>
              </w:rPr>
              <w:t>Comorbidities</w:t>
            </w:r>
          </w:p>
        </w:tc>
        <w:tc>
          <w:tcPr>
            <w:tcW w:w="1417" w:type="dxa"/>
          </w:tcPr>
          <w:p w14:paraId="09A0DAA5"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p>
        </w:tc>
        <w:tc>
          <w:tcPr>
            <w:tcW w:w="1063" w:type="dxa"/>
          </w:tcPr>
          <w:p w14:paraId="7AF096DF"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p>
        </w:tc>
      </w:tr>
      <w:tr w:rsidR="00116B4D" w:rsidRPr="00DB6A91" w14:paraId="19AB9D7E"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6EED8F59"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 xml:space="preserve">Smoking </w:t>
            </w:r>
          </w:p>
        </w:tc>
        <w:tc>
          <w:tcPr>
            <w:tcW w:w="1417" w:type="dxa"/>
          </w:tcPr>
          <w:p w14:paraId="2AA139A7"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3</w:t>
            </w:r>
          </w:p>
        </w:tc>
        <w:tc>
          <w:tcPr>
            <w:tcW w:w="1063" w:type="dxa"/>
          </w:tcPr>
          <w:p w14:paraId="062D79F0"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(10.7)</w:t>
            </w:r>
          </w:p>
        </w:tc>
      </w:tr>
      <w:tr w:rsidR="00116B4D" w:rsidRPr="00DB6A91" w14:paraId="1CB6A8CA"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67C5B22E"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Hypertension</w:t>
            </w:r>
          </w:p>
        </w:tc>
        <w:tc>
          <w:tcPr>
            <w:tcW w:w="1417" w:type="dxa"/>
          </w:tcPr>
          <w:p w14:paraId="26516C86"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3</w:t>
            </w:r>
          </w:p>
        </w:tc>
        <w:tc>
          <w:tcPr>
            <w:tcW w:w="1063" w:type="dxa"/>
          </w:tcPr>
          <w:p w14:paraId="1CBD140B"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(10.7)</w:t>
            </w:r>
          </w:p>
        </w:tc>
      </w:tr>
      <w:tr w:rsidR="00116B4D" w:rsidRPr="00DB6A91" w14:paraId="37459634"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2676091A"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IHD</w:t>
            </w:r>
          </w:p>
        </w:tc>
        <w:tc>
          <w:tcPr>
            <w:tcW w:w="1417" w:type="dxa"/>
          </w:tcPr>
          <w:p w14:paraId="1947FB5F"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3</w:t>
            </w:r>
          </w:p>
        </w:tc>
        <w:tc>
          <w:tcPr>
            <w:tcW w:w="1063" w:type="dxa"/>
          </w:tcPr>
          <w:p w14:paraId="79832594"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(10.7)</w:t>
            </w:r>
          </w:p>
        </w:tc>
      </w:tr>
      <w:tr w:rsidR="00116B4D" w:rsidRPr="00DB6A91" w14:paraId="5D371166" w14:textId="77777777" w:rsidTr="00116B4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3261" w:type="dxa"/>
          </w:tcPr>
          <w:p w14:paraId="03A0110D"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Diabetes</w:t>
            </w:r>
          </w:p>
        </w:tc>
        <w:tc>
          <w:tcPr>
            <w:tcW w:w="1417" w:type="dxa"/>
          </w:tcPr>
          <w:p w14:paraId="2EBAD021"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w:t>
            </w:r>
          </w:p>
        </w:tc>
        <w:tc>
          <w:tcPr>
            <w:tcW w:w="1063" w:type="dxa"/>
          </w:tcPr>
          <w:p w14:paraId="4FCF4280" w14:textId="77777777" w:rsidR="00116B4D" w:rsidRPr="00DB6A91" w:rsidRDefault="00116B4D" w:rsidP="00116B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(3.6)</w:t>
            </w:r>
          </w:p>
        </w:tc>
      </w:tr>
      <w:tr w:rsidR="00116B4D" w:rsidRPr="00DB6A91" w14:paraId="2ED751E5" w14:textId="77777777" w:rsidTr="00116B4D">
        <w:trPr>
          <w:trHeight w:val="16"/>
        </w:trPr>
        <w:tc>
          <w:tcPr>
            <w:cnfStyle w:val="001000000000" w:firstRow="0" w:lastRow="0" w:firstColumn="1" w:lastColumn="0" w:oddVBand="0" w:evenVBand="0" w:oddHBand="0" w:evenHBand="0" w:firstRowFirstColumn="0" w:firstRowLastColumn="0" w:lastRowFirstColumn="0" w:lastRowLastColumn="0"/>
            <w:tcW w:w="3261" w:type="dxa"/>
          </w:tcPr>
          <w:p w14:paraId="24A35B49" w14:textId="77777777" w:rsidR="00116B4D" w:rsidRPr="00DB6A91" w:rsidRDefault="00116B4D" w:rsidP="00116B4D">
            <w:pPr>
              <w:spacing w:after="0" w:line="240" w:lineRule="auto"/>
              <w:ind w:left="720"/>
              <w:rPr>
                <w:rFonts w:ascii="Arial" w:hAnsi="Arial" w:cs="Arial"/>
                <w:b w:val="0"/>
                <w:bCs w:val="0"/>
                <w:color w:val="000000" w:themeColor="text1"/>
                <w:sz w:val="17"/>
                <w:szCs w:val="17"/>
              </w:rPr>
            </w:pPr>
            <w:r w:rsidRPr="00DB6A91">
              <w:rPr>
                <w:rFonts w:ascii="Arial" w:hAnsi="Arial" w:cs="Arial"/>
                <w:b w:val="0"/>
                <w:bCs w:val="0"/>
                <w:color w:val="000000" w:themeColor="text1"/>
                <w:sz w:val="17"/>
                <w:szCs w:val="17"/>
              </w:rPr>
              <w:t>CKD</w:t>
            </w:r>
          </w:p>
        </w:tc>
        <w:tc>
          <w:tcPr>
            <w:tcW w:w="1417" w:type="dxa"/>
          </w:tcPr>
          <w:p w14:paraId="29F1C235"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1</w:t>
            </w:r>
          </w:p>
        </w:tc>
        <w:tc>
          <w:tcPr>
            <w:tcW w:w="1063" w:type="dxa"/>
          </w:tcPr>
          <w:p w14:paraId="3AB4380E" w14:textId="77777777" w:rsidR="00116B4D" w:rsidRPr="00DB6A91" w:rsidRDefault="00116B4D" w:rsidP="00116B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7"/>
                <w:szCs w:val="17"/>
              </w:rPr>
            </w:pPr>
            <w:r w:rsidRPr="00DB6A91">
              <w:rPr>
                <w:rFonts w:ascii="Arial" w:hAnsi="Arial" w:cs="Arial"/>
                <w:color w:val="000000" w:themeColor="text1"/>
                <w:sz w:val="17"/>
                <w:szCs w:val="17"/>
              </w:rPr>
              <w:t>(3.6)</w:t>
            </w:r>
          </w:p>
        </w:tc>
      </w:tr>
    </w:tbl>
    <w:p w14:paraId="18CD66EB" w14:textId="40AE7814" w:rsidR="007C7519" w:rsidRPr="00116B4D" w:rsidRDefault="00116B4D" w:rsidP="00116B4D">
      <w:pPr>
        <w:jc w:val="both"/>
        <w:rPr>
          <w:rFonts w:ascii="Arial" w:hAnsi="Arial" w:cs="Arial"/>
          <w:b/>
          <w:bCs/>
        </w:rPr>
      </w:pPr>
      <w:r>
        <w:rPr>
          <w:rFonts w:ascii="Arial" w:eastAsia="Arial" w:hAnsi="Arial" w:cs="Arial"/>
          <w:b/>
          <w:color w:val="231F20"/>
        </w:rPr>
        <w:t>Table 1: Baseline characteristics</w:t>
      </w:r>
      <w:r w:rsidR="00DB6A91">
        <w:rPr>
          <w:rFonts w:ascii="Arial" w:hAnsi="Arial" w:cs="Arial"/>
          <w:b/>
          <w:bCs/>
          <w:noProof/>
        </w:rPr>
        <w:t xml:space="preserve"> </w:t>
      </w:r>
    </w:p>
    <w:sectPr w:rsidR="007C7519" w:rsidRPr="00116B4D" w:rsidSect="00925F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91"/>
    <w:rsid w:val="00026FCC"/>
    <w:rsid w:val="00080537"/>
    <w:rsid w:val="000F52BB"/>
    <w:rsid w:val="00116B4D"/>
    <w:rsid w:val="00214A7A"/>
    <w:rsid w:val="0047312F"/>
    <w:rsid w:val="005056C9"/>
    <w:rsid w:val="00586E89"/>
    <w:rsid w:val="00606196"/>
    <w:rsid w:val="007C7519"/>
    <w:rsid w:val="007F2DC5"/>
    <w:rsid w:val="00925FE3"/>
    <w:rsid w:val="0093386C"/>
    <w:rsid w:val="00AA51EA"/>
    <w:rsid w:val="00B8472F"/>
    <w:rsid w:val="00DB6A91"/>
    <w:rsid w:val="00DC7B0C"/>
    <w:rsid w:val="00E53466"/>
    <w:rsid w:val="00ED1B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6648"/>
  <w15:chartTrackingRefBased/>
  <w15:docId w15:val="{A214470A-2508-EB49-9BA6-8FA42BAC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91"/>
    <w:pPr>
      <w:spacing w:after="200" w:line="276" w:lineRule="auto"/>
    </w:pPr>
    <w:rPr>
      <w:rFonts w:ascii="Calibri" w:eastAsia="Calibri" w:hAnsi="Calibri" w:cs="Calibri"/>
      <w:sz w:val="22"/>
      <w:szCs w:val="22"/>
      <w:lang w:val="en-NZ"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Accent2">
    <w:name w:val="List Table 6 Colorful Accent 2"/>
    <w:basedOn w:val="TableNormal"/>
    <w:uiPriority w:val="51"/>
    <w:rsid w:val="00DB6A9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DB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AA51E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AA51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3" ma:contentTypeDescription="Create a new document." ma:contentTypeScope="" ma:versionID="d7ad45a5ccac3379323364728ca4531b">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7a3738a93dfd5931362e12ad6010410c"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23E6C-1E80-4F5A-B7A7-AD152FF00279}">
  <ds:schemaRefs>
    <ds:schemaRef ds:uri="http://schemas.microsoft.com/sharepoint/v3/contenttype/forms"/>
  </ds:schemaRefs>
</ds:datastoreItem>
</file>

<file path=customXml/itemProps2.xml><?xml version="1.0" encoding="utf-8"?>
<ds:datastoreItem xmlns:ds="http://schemas.openxmlformats.org/officeDocument/2006/customXml" ds:itemID="{8054C1CD-31CE-45AF-90F8-81042795B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83EC0-5328-4990-BFFE-D504AFC258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Kerr</dc:creator>
  <cp:keywords/>
  <dc:description/>
  <cp:lastModifiedBy>Megan Sarson</cp:lastModifiedBy>
  <cp:revision>2</cp:revision>
  <dcterms:created xsi:type="dcterms:W3CDTF">2022-09-20T03:32:00Z</dcterms:created>
  <dcterms:modified xsi:type="dcterms:W3CDTF">2022-09-20T03:32:00Z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