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48C3" w14:textId="0DEE7D0F" w:rsidR="00E919AE" w:rsidRPr="00CD119B" w:rsidRDefault="00CD119B">
      <w:pPr>
        <w:rPr>
          <w:rFonts w:ascii="Arial" w:hAnsi="Arial" w:cs="Arial"/>
          <w:b/>
          <w:bCs/>
        </w:rPr>
      </w:pPr>
      <w:r w:rsidRPr="00CD119B">
        <w:rPr>
          <w:rFonts w:ascii="Arial" w:hAnsi="Arial" w:cs="Arial"/>
          <w:b/>
          <w:bCs/>
        </w:rPr>
        <w:t>Title</w:t>
      </w:r>
      <w:r w:rsidR="0072647A">
        <w:rPr>
          <w:rFonts w:ascii="Arial" w:hAnsi="Arial" w:cs="Arial"/>
          <w:b/>
          <w:bCs/>
        </w:rPr>
        <w:t>:</w:t>
      </w:r>
    </w:p>
    <w:p w14:paraId="2E66D306" w14:textId="6DBDCC5B" w:rsidR="00EE1B49" w:rsidRPr="00EB2157" w:rsidRDefault="00495035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Bleeding severity and haemostatic management of </w:t>
      </w:r>
      <w:r w:rsidR="00670BC5">
        <w:rPr>
          <w:rFonts w:ascii="Arial" w:hAnsi="Arial" w:cs="Arial"/>
          <w:color w:val="231F20"/>
        </w:rPr>
        <w:t>inherited R</w:t>
      </w:r>
      <w:r>
        <w:rPr>
          <w:rFonts w:ascii="Arial" w:hAnsi="Arial" w:cs="Arial"/>
          <w:color w:val="231F20"/>
        </w:rPr>
        <w:t xml:space="preserve">are Bleeding Disorders (RBDs) </w:t>
      </w:r>
      <w:r w:rsidR="00B32C70">
        <w:rPr>
          <w:rFonts w:ascii="Arial" w:hAnsi="Arial" w:cs="Arial"/>
          <w:color w:val="231F20"/>
        </w:rPr>
        <w:t>at a</w:t>
      </w:r>
      <w:r w:rsidR="00AD2DEA">
        <w:rPr>
          <w:rFonts w:ascii="Arial" w:hAnsi="Arial" w:cs="Arial"/>
          <w:color w:val="231F20"/>
        </w:rPr>
        <w:t>n</w:t>
      </w:r>
      <w:r w:rsidR="00B32C70">
        <w:rPr>
          <w:rFonts w:ascii="Arial" w:hAnsi="Arial" w:cs="Arial"/>
          <w:color w:val="231F20"/>
        </w:rPr>
        <w:t xml:space="preserve"> Australian </w:t>
      </w:r>
      <w:r w:rsidR="002446FA">
        <w:rPr>
          <w:rFonts w:ascii="Arial" w:hAnsi="Arial" w:cs="Arial"/>
          <w:color w:val="231F20"/>
        </w:rPr>
        <w:t>Haemophilia Treatment Centre</w:t>
      </w:r>
      <w:r w:rsidR="00B32C70">
        <w:rPr>
          <w:rFonts w:ascii="Arial" w:hAnsi="Arial" w:cs="Arial"/>
          <w:color w:val="231F20"/>
        </w:rPr>
        <w:t xml:space="preserve">. </w:t>
      </w:r>
    </w:p>
    <w:p w14:paraId="78956B8D" w14:textId="43B268AF" w:rsidR="004E5B2F" w:rsidRPr="004A4CB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Aim: </w:t>
      </w:r>
    </w:p>
    <w:p w14:paraId="77998A6E" w14:textId="0D255FC3" w:rsidR="00EE1B49" w:rsidRPr="00EB2157" w:rsidRDefault="00EB2157" w:rsidP="00DF1E5B">
      <w:pPr>
        <w:shd w:val="clear" w:color="auto" w:fill="FFFFFF"/>
        <w:spacing w:before="100" w:beforeAutospacing="1" w:after="180"/>
        <w:rPr>
          <w:rFonts w:ascii="Helvetica" w:hAnsi="Helvetica" w:cs="Helvetica"/>
          <w:color w:val="231F20"/>
          <w:shd w:val="clear" w:color="auto" w:fill="FFFFFF"/>
          <w:lang w:val="en-GB"/>
        </w:rPr>
      </w:pPr>
      <w:r>
        <w:rPr>
          <w:rFonts w:ascii="Helvetica" w:hAnsi="Helvetica" w:cs="Helvetica"/>
          <w:color w:val="231F20"/>
          <w:shd w:val="clear" w:color="auto" w:fill="FFFFFF"/>
        </w:rPr>
        <w:t xml:space="preserve">Rare bleeding disorders (RBDs) </w:t>
      </w:r>
      <w:r w:rsidR="00447ED4">
        <w:rPr>
          <w:rFonts w:ascii="Helvetica" w:hAnsi="Helvetica" w:cs="Helvetica"/>
          <w:color w:val="231F20"/>
          <w:shd w:val="clear" w:color="auto" w:fill="FFFFFF"/>
        </w:rPr>
        <w:t>refer to</w:t>
      </w:r>
      <w:r>
        <w:rPr>
          <w:rFonts w:ascii="Helvetica" w:hAnsi="Helvetica" w:cs="Helvetica"/>
          <w:color w:val="231F20"/>
          <w:shd w:val="clear" w:color="auto" w:fill="FFFFFF"/>
        </w:rPr>
        <w:t xml:space="preserve"> inherited deficiencies </w:t>
      </w:r>
      <w:r w:rsidR="00447ED4">
        <w:rPr>
          <w:rFonts w:ascii="Helvetica" w:hAnsi="Helvetica" w:cs="Helvetica"/>
          <w:color w:val="231F20"/>
          <w:shd w:val="clear" w:color="auto" w:fill="FFFFFF"/>
        </w:rPr>
        <w:t>of</w:t>
      </w:r>
      <w:r>
        <w:rPr>
          <w:rFonts w:ascii="Helvetica" w:hAnsi="Helvetica" w:cs="Helvetica"/>
          <w:color w:val="231F20"/>
          <w:shd w:val="clear" w:color="auto" w:fill="FFFFFF"/>
        </w:rPr>
        <w:t xml:space="preserve"> coagulation factors other than VIII and IX. </w:t>
      </w:r>
      <w:r w:rsidR="00A6765D">
        <w:rPr>
          <w:rFonts w:ascii="Helvetica" w:hAnsi="Helvetica" w:cs="Helvetica"/>
          <w:color w:val="231F20"/>
          <w:shd w:val="clear" w:color="auto" w:fill="FFFFFF"/>
        </w:rPr>
        <w:t xml:space="preserve">We sought </w:t>
      </w:r>
      <w:r w:rsidR="00495035">
        <w:rPr>
          <w:rFonts w:ascii="Helvetica" w:hAnsi="Helvetica" w:cs="Helvetica"/>
          <w:color w:val="231F20"/>
          <w:shd w:val="clear" w:color="auto" w:fill="FFFFFF"/>
        </w:rPr>
        <w:t xml:space="preserve">to </w:t>
      </w:r>
      <w:r w:rsidR="00DF1E5B">
        <w:rPr>
          <w:rFonts w:ascii="Helvetica" w:hAnsi="Helvetica" w:cs="Helvetica"/>
          <w:color w:val="231F20"/>
          <w:shd w:val="clear" w:color="auto" w:fill="FFFFFF"/>
        </w:rPr>
        <w:t xml:space="preserve">investigate the </w:t>
      </w:r>
      <w:r w:rsidR="00DF1E5B" w:rsidRPr="00DF1E5B">
        <w:rPr>
          <w:rFonts w:ascii="Helvetica" w:hAnsi="Helvetica" w:cs="Helvetica"/>
          <w:color w:val="231F20"/>
          <w:shd w:val="clear" w:color="auto" w:fill="FFFFFF"/>
          <w:lang w:val="en-GB"/>
        </w:rPr>
        <w:t>relationship between factor activity level and bleeding severity in patients</w:t>
      </w:r>
      <w:r w:rsidR="00DF1E5B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</w:t>
      </w:r>
      <w:r w:rsidR="00DF1E5B" w:rsidRPr="00DF1E5B">
        <w:rPr>
          <w:rFonts w:ascii="Helvetica" w:hAnsi="Helvetica" w:cs="Helvetica"/>
          <w:color w:val="231F20"/>
          <w:shd w:val="clear" w:color="auto" w:fill="FFFFFF"/>
          <w:lang w:val="en-GB"/>
        </w:rPr>
        <w:t>with</w:t>
      </w:r>
      <w:r w:rsidR="00DF1E5B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</w:t>
      </w:r>
      <w:r w:rsidR="00DF1E5B" w:rsidRPr="00DF1E5B">
        <w:rPr>
          <w:rFonts w:ascii="Helvetica" w:hAnsi="Helvetica" w:cs="Helvetica"/>
          <w:color w:val="231F20"/>
          <w:shd w:val="clear" w:color="auto" w:fill="FFFFFF"/>
          <w:lang w:val="en-GB"/>
        </w:rPr>
        <w:t>RBDs</w:t>
      </w:r>
      <w:r w:rsidR="00DF1E5B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</w:t>
      </w:r>
      <w:r w:rsidR="00A6765D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at a </w:t>
      </w:r>
      <w:r w:rsidR="00DF1E5B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large </w:t>
      </w:r>
      <w:r w:rsidR="00A6765D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Australian </w:t>
      </w:r>
      <w:r w:rsidR="00A6765D">
        <w:rPr>
          <w:rFonts w:ascii="Helvetica" w:hAnsi="Helvetica" w:cs="Helvetica"/>
          <w:color w:val="231F20"/>
          <w:shd w:val="clear" w:color="auto" w:fill="FFFFFF"/>
        </w:rPr>
        <w:t>Haemophilia Treatment Centre (HTC</w:t>
      </w:r>
      <w:r w:rsidR="00495035">
        <w:rPr>
          <w:rFonts w:ascii="Helvetica" w:hAnsi="Helvetica" w:cs="Helvetica"/>
          <w:color w:val="231F20"/>
          <w:shd w:val="clear" w:color="auto" w:fill="FFFFFF"/>
        </w:rPr>
        <w:t xml:space="preserve">). </w:t>
      </w:r>
      <w:r w:rsidR="004D0AA8" w:rsidRPr="004D0AA8">
        <w:rPr>
          <w:rFonts w:ascii="Helvetica" w:hAnsi="Helvetica" w:cs="Helvetica"/>
          <w:color w:val="231F20"/>
          <w:shd w:val="clear" w:color="auto" w:fill="FFFFFF"/>
        </w:rPr>
        <w:t xml:space="preserve"> </w:t>
      </w:r>
    </w:p>
    <w:p w14:paraId="595A4BB0" w14:textId="7DC2728A" w:rsidR="004E5B2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Method: </w:t>
      </w:r>
    </w:p>
    <w:p w14:paraId="781674CD" w14:textId="43647559" w:rsidR="004E5B2F" w:rsidRPr="00A6765D" w:rsidRDefault="00A6765D" w:rsidP="00B32C70">
      <w:pPr>
        <w:shd w:val="clear" w:color="auto" w:fill="FFFFFF"/>
        <w:spacing w:before="100" w:beforeAutospacing="1" w:after="180"/>
        <w:rPr>
          <w:rFonts w:ascii="Helvetica" w:hAnsi="Helvetica" w:cs="Helvetica"/>
          <w:color w:val="231F20"/>
          <w:shd w:val="clear" w:color="auto" w:fill="FFFFFF"/>
          <w:lang w:val="en-GB"/>
        </w:rPr>
      </w:pPr>
      <w:r>
        <w:rPr>
          <w:rFonts w:ascii="Helvetica" w:hAnsi="Helvetica" w:cs="Helvetica"/>
          <w:color w:val="231F20"/>
          <w:shd w:val="clear" w:color="auto" w:fill="FFFFFF"/>
        </w:rPr>
        <w:t>A c</w:t>
      </w:r>
      <w:r w:rsidR="004D0AA8">
        <w:rPr>
          <w:rFonts w:ascii="Helvetica" w:hAnsi="Helvetica" w:cs="Helvetica"/>
          <w:color w:val="231F20"/>
          <w:shd w:val="clear" w:color="auto" w:fill="FFFFFF"/>
        </w:rPr>
        <w:t>ross-sectional analysis</w:t>
      </w:r>
      <w:r w:rsidR="00495035">
        <w:rPr>
          <w:rFonts w:ascii="Helvetica" w:hAnsi="Helvetica" w:cs="Helvetica"/>
          <w:color w:val="231F20"/>
          <w:shd w:val="clear" w:color="auto" w:fill="FFFFFF"/>
        </w:rPr>
        <w:t xml:space="preserve"> was performed</w:t>
      </w:r>
      <w:r w:rsidR="004D0AA8">
        <w:rPr>
          <w:rFonts w:ascii="Helvetica" w:hAnsi="Helvetica" w:cs="Helvetica"/>
          <w:color w:val="231F20"/>
          <w:shd w:val="clear" w:color="auto" w:fill="FFFFFF"/>
        </w:rPr>
        <w:t xml:space="preserve"> of patients registered in the Australian Bleeding Disorders Registry (ABDR) at the Alfred </w:t>
      </w:r>
      <w:r w:rsidR="004757CD">
        <w:rPr>
          <w:rFonts w:ascii="Helvetica" w:hAnsi="Helvetica" w:cs="Helvetica"/>
          <w:color w:val="231F20"/>
          <w:shd w:val="clear" w:color="auto" w:fill="FFFFFF"/>
        </w:rPr>
        <w:t xml:space="preserve">Hospital </w:t>
      </w:r>
      <w:r w:rsidR="009A4970">
        <w:rPr>
          <w:rFonts w:ascii="Helvetica" w:hAnsi="Helvetica" w:cs="Helvetica"/>
          <w:color w:val="231F20"/>
          <w:shd w:val="clear" w:color="auto" w:fill="FFFFFF"/>
        </w:rPr>
        <w:t xml:space="preserve">HTC </w:t>
      </w:r>
      <w:r w:rsidR="004D0AA8">
        <w:rPr>
          <w:rFonts w:ascii="Helvetica" w:hAnsi="Helvetica" w:cs="Helvetica"/>
          <w:color w:val="231F20"/>
          <w:shd w:val="clear" w:color="auto" w:fill="FFFFFF"/>
        </w:rPr>
        <w:t xml:space="preserve">with </w:t>
      </w:r>
      <w:r w:rsidR="00495035">
        <w:rPr>
          <w:rFonts w:ascii="Helvetica" w:hAnsi="Helvetica" w:cs="Helvetica"/>
          <w:color w:val="231F20"/>
          <w:shd w:val="clear" w:color="auto" w:fill="FFFFFF"/>
        </w:rPr>
        <w:t>factor</w:t>
      </w:r>
      <w:r w:rsidR="004D0AA8">
        <w:rPr>
          <w:rFonts w:ascii="Helvetica" w:hAnsi="Helvetica" w:cs="Helvetica"/>
          <w:color w:val="231F20"/>
          <w:shd w:val="clear" w:color="auto" w:fill="FFFFFF"/>
        </w:rPr>
        <w:t xml:space="preserve"> V, VII, X, XI or XIII</w:t>
      </w:r>
      <w:r w:rsidR="009A4970">
        <w:rPr>
          <w:rFonts w:ascii="Helvetica" w:hAnsi="Helvetica" w:cs="Helvetica"/>
          <w:color w:val="231F20"/>
          <w:shd w:val="clear" w:color="auto" w:fill="FFFFFF"/>
        </w:rPr>
        <w:t xml:space="preserve"> </w:t>
      </w:r>
      <w:r w:rsidR="00495035">
        <w:rPr>
          <w:rFonts w:ascii="Helvetica" w:hAnsi="Helvetica" w:cs="Helvetica"/>
          <w:color w:val="231F20"/>
          <w:shd w:val="clear" w:color="auto" w:fill="FFFFFF"/>
        </w:rPr>
        <w:t xml:space="preserve">deficiency </w:t>
      </w:r>
      <w:r w:rsidR="009A4970">
        <w:rPr>
          <w:rFonts w:ascii="Helvetica" w:hAnsi="Helvetica" w:cs="Helvetica"/>
          <w:color w:val="231F20"/>
          <w:shd w:val="clear" w:color="auto" w:fill="FFFFFF"/>
        </w:rPr>
        <w:t>as of March 31, 2023</w:t>
      </w:r>
      <w:r w:rsidR="004D0AA8">
        <w:rPr>
          <w:rFonts w:ascii="Helvetica" w:hAnsi="Helvetica" w:cs="Helvetica"/>
          <w:color w:val="231F20"/>
          <w:shd w:val="clear" w:color="auto" w:fill="FFFFFF"/>
        </w:rPr>
        <w:t>.</w:t>
      </w:r>
      <w:r w:rsidR="00670BC5">
        <w:rPr>
          <w:rFonts w:ascii="Helvetica" w:hAnsi="Helvetica" w:cs="Helvetica"/>
          <w:color w:val="231F20"/>
          <w:shd w:val="clear" w:color="auto" w:fill="FFFFFF"/>
        </w:rPr>
        <w:t xml:space="preserve"> Fibrinogen disorders are currently the subject of a separate project at our institution and so were excluded. </w:t>
      </w:r>
      <w:r w:rsidR="00F22D81">
        <w:rPr>
          <w:rFonts w:ascii="Helvetica" w:hAnsi="Helvetica" w:cs="Helvetica"/>
          <w:color w:val="231F20"/>
          <w:shd w:val="clear" w:color="auto" w:fill="FFFFFF"/>
          <w:lang w:val="en-GB"/>
        </w:rPr>
        <w:t>B</w:t>
      </w:r>
      <w:r w:rsidR="009A4970">
        <w:rPr>
          <w:rFonts w:ascii="Helvetica" w:hAnsi="Helvetica" w:cs="Helvetica"/>
          <w:color w:val="231F20"/>
          <w:shd w:val="clear" w:color="auto" w:fill="FFFFFF"/>
          <w:lang w:val="en-GB"/>
        </w:rPr>
        <w:t>leeding episodes were</w:t>
      </w:r>
      <w:r w:rsidR="004D0AA8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retrospectively </w:t>
      </w:r>
      <w:r w:rsidR="009A4970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assessed </w:t>
      </w:r>
      <w:r w:rsidR="004D0AA8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using </w:t>
      </w:r>
      <w:r w:rsidR="002446FA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both </w:t>
      </w:r>
      <w:r w:rsidR="004D0AA8">
        <w:rPr>
          <w:rFonts w:ascii="Helvetica" w:hAnsi="Helvetica" w:cs="Helvetica"/>
          <w:color w:val="231F20"/>
          <w:shd w:val="clear" w:color="auto" w:fill="FFFFFF"/>
          <w:lang w:val="en-GB"/>
        </w:rPr>
        <w:t>the</w:t>
      </w:r>
      <w:r w:rsidR="009A4970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International</w:t>
      </w:r>
      <w:r w:rsidR="004D0AA8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</w:t>
      </w:r>
      <w:r w:rsidR="009A4970">
        <w:rPr>
          <w:rFonts w:ascii="Helvetica" w:hAnsi="Helvetica" w:cs="Helvetica"/>
          <w:color w:val="231F20"/>
          <w:shd w:val="clear" w:color="auto" w:fill="FFFFFF"/>
          <w:lang w:val="en-GB"/>
        </w:rPr>
        <w:t>Society of Thrombosis and Haemostasis</w:t>
      </w:r>
      <w:r w:rsidR="004D0AA8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bleeding assessment tool (ISTH-BAT)</w:t>
      </w:r>
      <w:r w:rsidR="002446FA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and European Network of Rare Bleeding Disorders (EN-RBD) severity category. </w:t>
      </w:r>
      <w:r w:rsidR="00B32C70" w:rsidRPr="00B32C70">
        <w:rPr>
          <w:rFonts w:ascii="Helvetica" w:hAnsi="Helvetica" w:cs="Helvetica"/>
          <w:color w:val="231F20"/>
          <w:shd w:val="clear" w:color="auto" w:fill="FFFFFF"/>
          <w:lang w:val="en-GB"/>
        </w:rPr>
        <w:t>Linear</w:t>
      </w:r>
      <w:r w:rsidR="00B32C70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</w:t>
      </w:r>
      <w:r w:rsidR="00B32C70" w:rsidRPr="00B32C70">
        <w:rPr>
          <w:rFonts w:ascii="Helvetica" w:hAnsi="Helvetica" w:cs="Helvetica"/>
          <w:color w:val="231F20"/>
          <w:shd w:val="clear" w:color="auto" w:fill="FFFFFF"/>
          <w:lang w:val="en-GB"/>
        </w:rPr>
        <w:t>regression analysis was used to determine the association</w:t>
      </w:r>
      <w:r w:rsidR="00B32C70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</w:t>
      </w:r>
      <w:r w:rsidR="00B32C70" w:rsidRPr="00B32C70">
        <w:rPr>
          <w:rFonts w:ascii="Helvetica" w:hAnsi="Helvetica" w:cs="Helvetica"/>
          <w:color w:val="231F20"/>
          <w:shd w:val="clear" w:color="auto" w:fill="FFFFFF"/>
          <w:lang w:val="en-GB"/>
        </w:rPr>
        <w:t>between factor activity level (dependent variable)</w:t>
      </w:r>
      <w:r w:rsidR="00B32C70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</w:t>
      </w:r>
      <w:r w:rsidR="0030375D">
        <w:rPr>
          <w:rFonts w:ascii="Helvetica" w:hAnsi="Helvetica" w:cs="Helvetica"/>
          <w:color w:val="231F20"/>
          <w:shd w:val="clear" w:color="auto" w:fill="FFFFFF"/>
          <w:lang w:val="en-GB"/>
        </w:rPr>
        <w:t>versus</w:t>
      </w:r>
      <w:r w:rsidR="00B32C70" w:rsidRPr="00B32C70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</w:t>
      </w:r>
      <w:r w:rsidR="00B32C70">
        <w:rPr>
          <w:rFonts w:ascii="Helvetica" w:hAnsi="Helvetica" w:cs="Helvetica"/>
          <w:color w:val="231F20"/>
          <w:shd w:val="clear" w:color="auto" w:fill="FFFFFF"/>
          <w:lang w:val="en-GB"/>
        </w:rPr>
        <w:t>ISTH-BAT</w:t>
      </w:r>
      <w:r w:rsidR="0030375D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and EN-RBD grade</w:t>
      </w:r>
      <w:r w:rsidR="00B32C70" w:rsidRPr="00B32C70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(independent</w:t>
      </w:r>
      <w:r w:rsidR="00B32C70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</w:t>
      </w:r>
      <w:r w:rsidR="00B32C70" w:rsidRPr="00B32C70">
        <w:rPr>
          <w:rFonts w:ascii="Helvetica" w:hAnsi="Helvetica" w:cs="Helvetica"/>
          <w:color w:val="231F20"/>
          <w:shd w:val="clear" w:color="auto" w:fill="FFFFFF"/>
          <w:lang w:val="en-GB"/>
        </w:rPr>
        <w:t>variable</w:t>
      </w:r>
      <w:r w:rsidR="0030375D">
        <w:rPr>
          <w:rFonts w:ascii="Helvetica" w:hAnsi="Helvetica" w:cs="Helvetica"/>
          <w:color w:val="231F20"/>
          <w:shd w:val="clear" w:color="auto" w:fill="FFFFFF"/>
          <w:lang w:val="en-GB"/>
        </w:rPr>
        <w:t>s</w:t>
      </w:r>
      <w:r w:rsidR="00B32C70" w:rsidRPr="00B32C70">
        <w:rPr>
          <w:rFonts w:ascii="Helvetica" w:hAnsi="Helvetica" w:cs="Helvetica"/>
          <w:color w:val="231F20"/>
          <w:shd w:val="clear" w:color="auto" w:fill="FFFFFF"/>
          <w:lang w:val="en-GB"/>
        </w:rPr>
        <w:t>)</w:t>
      </w:r>
      <w:r w:rsidR="00B32C70">
        <w:rPr>
          <w:rFonts w:ascii="Helvetica" w:hAnsi="Helvetica" w:cs="Helvetica"/>
          <w:color w:val="231F20"/>
          <w:shd w:val="clear" w:color="auto" w:fill="FFFFFF"/>
          <w:lang w:val="en-GB"/>
        </w:rPr>
        <w:t>.</w:t>
      </w:r>
    </w:p>
    <w:p w14:paraId="108BE2D3" w14:textId="77777777" w:rsidR="004E5B2F" w:rsidRPr="004A4CB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Results: </w:t>
      </w:r>
    </w:p>
    <w:p w14:paraId="2C90D512" w14:textId="6D871DC9" w:rsidR="002446FA" w:rsidRDefault="00CF26B6" w:rsidP="000C30A1">
      <w:pPr>
        <w:shd w:val="clear" w:color="auto" w:fill="FFFFFF"/>
        <w:spacing w:before="100" w:beforeAutospacing="1" w:after="180"/>
        <w:rPr>
          <w:rFonts w:ascii="Helvetica" w:hAnsi="Helvetica" w:cs="Helvetica"/>
          <w:color w:val="231F20"/>
          <w:shd w:val="clear" w:color="auto" w:fill="FFFFFF"/>
          <w:lang w:val="en-GB"/>
        </w:rPr>
      </w:pPr>
      <w:r>
        <w:rPr>
          <w:rFonts w:ascii="Helvetica" w:hAnsi="Helvetica" w:cs="Helvetica"/>
          <w:color w:val="231F20"/>
          <w:shd w:val="clear" w:color="auto" w:fill="FFFFFF"/>
          <w:lang w:val="en-GB"/>
        </w:rPr>
        <w:t>61</w:t>
      </w:r>
      <w:r w:rsidR="00EB2157" w:rsidRPr="00EB2157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patients </w:t>
      </w:r>
      <w:r>
        <w:rPr>
          <w:rFonts w:ascii="Helvetica" w:hAnsi="Helvetica" w:cs="Helvetica"/>
          <w:color w:val="231F20"/>
          <w:shd w:val="clear" w:color="auto" w:fill="FFFFFF"/>
          <w:lang w:val="en-GB"/>
        </w:rPr>
        <w:t>had</w:t>
      </w:r>
      <w:r w:rsidR="00EB2157" w:rsidRPr="00EB2157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adequate records</w:t>
      </w:r>
      <w:r w:rsidR="00EB2157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</w:t>
      </w:r>
      <w:r>
        <w:rPr>
          <w:rFonts w:ascii="Helvetica" w:hAnsi="Helvetica" w:cs="Helvetica"/>
          <w:color w:val="231F20"/>
          <w:shd w:val="clear" w:color="auto" w:fill="FFFFFF"/>
          <w:lang w:val="en-GB"/>
        </w:rPr>
        <w:t>for analysis</w:t>
      </w:r>
      <w:r w:rsidR="0057112B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as</w:t>
      </w:r>
      <w:r w:rsidR="002446FA">
        <w:rPr>
          <w:rFonts w:ascii="Helvetica" w:hAnsi="Helvetica" w:cs="Helvetica"/>
          <w:color w:val="231F20"/>
          <w:shd w:val="clear" w:color="auto" w:fill="FFFFFF"/>
          <w:lang w:val="en-GB"/>
        </w:rPr>
        <w:t xml:space="preserve"> tabulated below: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1276"/>
        <w:gridCol w:w="1276"/>
        <w:gridCol w:w="1276"/>
      </w:tblGrid>
      <w:tr w:rsidR="007F17FB" w:rsidRPr="007F17FB" w14:paraId="47B17393" w14:textId="77777777" w:rsidTr="0023032E">
        <w:trPr>
          <w:cantSplit/>
        </w:trPr>
        <w:tc>
          <w:tcPr>
            <w:tcW w:w="3114" w:type="dxa"/>
          </w:tcPr>
          <w:p w14:paraId="3989DE0A" w14:textId="77777777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</w:tcPr>
          <w:p w14:paraId="112639F3" w14:textId="77777777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  <w:t>FV</w:t>
            </w:r>
          </w:p>
          <w:p w14:paraId="7917E8C4" w14:textId="69BBD5B6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  <w:t>(n = 4)</w:t>
            </w:r>
          </w:p>
        </w:tc>
        <w:tc>
          <w:tcPr>
            <w:tcW w:w="1275" w:type="dxa"/>
          </w:tcPr>
          <w:p w14:paraId="0ABDB5CC" w14:textId="77777777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  <w:t>FVII</w:t>
            </w:r>
          </w:p>
          <w:p w14:paraId="25499DD1" w14:textId="432B393C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  <w:t>(n = 19)</w:t>
            </w:r>
          </w:p>
        </w:tc>
        <w:tc>
          <w:tcPr>
            <w:tcW w:w="1276" w:type="dxa"/>
          </w:tcPr>
          <w:p w14:paraId="5BB2CA04" w14:textId="77777777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  <w:t>FX</w:t>
            </w:r>
          </w:p>
          <w:p w14:paraId="14382316" w14:textId="1AF678BF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  <w:t>(n = 4)</w:t>
            </w:r>
          </w:p>
        </w:tc>
        <w:tc>
          <w:tcPr>
            <w:tcW w:w="1276" w:type="dxa"/>
          </w:tcPr>
          <w:p w14:paraId="48DFEAC5" w14:textId="77777777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  <w:t>FXI</w:t>
            </w:r>
          </w:p>
          <w:p w14:paraId="48A6B365" w14:textId="63F3EB8E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  <w:t>(n = 28)</w:t>
            </w:r>
          </w:p>
        </w:tc>
        <w:tc>
          <w:tcPr>
            <w:tcW w:w="1276" w:type="dxa"/>
          </w:tcPr>
          <w:p w14:paraId="70F1E7A3" w14:textId="77777777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  <w:t>FXIII</w:t>
            </w:r>
          </w:p>
          <w:p w14:paraId="3E3D1092" w14:textId="7CD62A7C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b/>
                <w:bCs/>
                <w:color w:val="231F20"/>
                <w:shd w:val="clear" w:color="auto" w:fill="FFFFFF"/>
                <w:lang w:val="en-GB"/>
              </w:rPr>
              <w:t>(n = 6)</w:t>
            </w:r>
          </w:p>
        </w:tc>
      </w:tr>
      <w:tr w:rsidR="007F17FB" w:rsidRPr="007F17FB" w14:paraId="38A2502B" w14:textId="77777777" w:rsidTr="0023032E">
        <w:trPr>
          <w:cantSplit/>
        </w:trPr>
        <w:tc>
          <w:tcPr>
            <w:tcW w:w="3114" w:type="dxa"/>
          </w:tcPr>
          <w:p w14:paraId="7DABB3A1" w14:textId="459036DD" w:rsidR="002446FA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Age</w:t>
            </w:r>
          </w:p>
        </w:tc>
        <w:tc>
          <w:tcPr>
            <w:tcW w:w="1276" w:type="dxa"/>
          </w:tcPr>
          <w:p w14:paraId="3F17108A" w14:textId="3D52EB1B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38 (28-33)</w:t>
            </w:r>
          </w:p>
        </w:tc>
        <w:tc>
          <w:tcPr>
            <w:tcW w:w="1275" w:type="dxa"/>
          </w:tcPr>
          <w:p w14:paraId="72E24B15" w14:textId="017B2FB9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52 (30-62)</w:t>
            </w:r>
          </w:p>
        </w:tc>
        <w:tc>
          <w:tcPr>
            <w:tcW w:w="1276" w:type="dxa"/>
          </w:tcPr>
          <w:p w14:paraId="6E67535F" w14:textId="21585BCD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34 (29-36)</w:t>
            </w:r>
          </w:p>
        </w:tc>
        <w:tc>
          <w:tcPr>
            <w:tcW w:w="1276" w:type="dxa"/>
          </w:tcPr>
          <w:p w14:paraId="0CF64F56" w14:textId="3C72471F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54 (41-79)</w:t>
            </w:r>
          </w:p>
        </w:tc>
        <w:tc>
          <w:tcPr>
            <w:tcW w:w="1276" w:type="dxa"/>
          </w:tcPr>
          <w:p w14:paraId="604E5867" w14:textId="073F2616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31 (27-32)</w:t>
            </w:r>
          </w:p>
        </w:tc>
      </w:tr>
      <w:tr w:rsidR="007F17FB" w:rsidRPr="007F17FB" w14:paraId="1D925185" w14:textId="77777777" w:rsidTr="0023032E">
        <w:trPr>
          <w:cantSplit/>
        </w:trPr>
        <w:tc>
          <w:tcPr>
            <w:tcW w:w="3114" w:type="dxa"/>
          </w:tcPr>
          <w:p w14:paraId="45EA58EA" w14:textId="702533F6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Male (%)</w:t>
            </w:r>
          </w:p>
        </w:tc>
        <w:tc>
          <w:tcPr>
            <w:tcW w:w="1276" w:type="dxa"/>
          </w:tcPr>
          <w:p w14:paraId="4A61D3F0" w14:textId="03F63DC6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25</w:t>
            </w:r>
          </w:p>
        </w:tc>
        <w:tc>
          <w:tcPr>
            <w:tcW w:w="1275" w:type="dxa"/>
          </w:tcPr>
          <w:p w14:paraId="260C6A3E" w14:textId="2C7E6087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63</w:t>
            </w:r>
          </w:p>
        </w:tc>
        <w:tc>
          <w:tcPr>
            <w:tcW w:w="1276" w:type="dxa"/>
          </w:tcPr>
          <w:p w14:paraId="45548E03" w14:textId="367BCADE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50</w:t>
            </w:r>
          </w:p>
        </w:tc>
        <w:tc>
          <w:tcPr>
            <w:tcW w:w="1276" w:type="dxa"/>
          </w:tcPr>
          <w:p w14:paraId="57D8D97D" w14:textId="461A4C16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54</w:t>
            </w:r>
          </w:p>
        </w:tc>
        <w:tc>
          <w:tcPr>
            <w:tcW w:w="1276" w:type="dxa"/>
          </w:tcPr>
          <w:p w14:paraId="351C666E" w14:textId="007D40B5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83</w:t>
            </w:r>
          </w:p>
        </w:tc>
      </w:tr>
      <w:tr w:rsidR="0030375D" w:rsidRPr="007F17FB" w14:paraId="26E2BADB" w14:textId="77777777" w:rsidTr="0023032E">
        <w:trPr>
          <w:cantSplit/>
        </w:trPr>
        <w:tc>
          <w:tcPr>
            <w:tcW w:w="3114" w:type="dxa"/>
          </w:tcPr>
          <w:p w14:paraId="3CAFDBCF" w14:textId="085D7FF9" w:rsidR="00346CE3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Baseline f</w:t>
            </w:r>
            <w:r w:rsidR="0057112B"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actor activity</w:t>
            </w:r>
          </w:p>
        </w:tc>
        <w:tc>
          <w:tcPr>
            <w:tcW w:w="1276" w:type="dxa"/>
          </w:tcPr>
          <w:p w14:paraId="41906CC4" w14:textId="776AC8CC" w:rsidR="00346CE3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2 (2-11)</w:t>
            </w:r>
          </w:p>
        </w:tc>
        <w:tc>
          <w:tcPr>
            <w:tcW w:w="1275" w:type="dxa"/>
          </w:tcPr>
          <w:p w14:paraId="5CA96980" w14:textId="4BE4F78A" w:rsidR="00346CE3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11 (5-29)</w:t>
            </w:r>
          </w:p>
        </w:tc>
        <w:tc>
          <w:tcPr>
            <w:tcW w:w="1276" w:type="dxa"/>
          </w:tcPr>
          <w:p w14:paraId="6A414C95" w14:textId="68B82D98" w:rsidR="00346CE3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12 (1-26)</w:t>
            </w:r>
          </w:p>
        </w:tc>
        <w:tc>
          <w:tcPr>
            <w:tcW w:w="1276" w:type="dxa"/>
          </w:tcPr>
          <w:p w14:paraId="6623DE59" w14:textId="568345BF" w:rsidR="00346CE3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2.5 (1-6)</w:t>
            </w:r>
          </w:p>
        </w:tc>
        <w:tc>
          <w:tcPr>
            <w:tcW w:w="1276" w:type="dxa"/>
          </w:tcPr>
          <w:p w14:paraId="0915DD98" w14:textId="2D05EDD3" w:rsidR="00346CE3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8.5 (2.5-10)</w:t>
            </w:r>
          </w:p>
        </w:tc>
      </w:tr>
      <w:tr w:rsidR="007F17FB" w:rsidRPr="007F17FB" w14:paraId="26087B12" w14:textId="77777777" w:rsidTr="0023032E">
        <w:trPr>
          <w:cantSplit/>
        </w:trPr>
        <w:tc>
          <w:tcPr>
            <w:tcW w:w="3114" w:type="dxa"/>
          </w:tcPr>
          <w:p w14:paraId="114E20B4" w14:textId="29604F0A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ISTH-BAT score</w:t>
            </w:r>
          </w:p>
        </w:tc>
        <w:tc>
          <w:tcPr>
            <w:tcW w:w="1276" w:type="dxa"/>
          </w:tcPr>
          <w:p w14:paraId="7D495481" w14:textId="23375753" w:rsidR="002446FA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5 (4-7)</w:t>
            </w:r>
          </w:p>
        </w:tc>
        <w:tc>
          <w:tcPr>
            <w:tcW w:w="1275" w:type="dxa"/>
          </w:tcPr>
          <w:p w14:paraId="013BE522" w14:textId="44874002" w:rsidR="002446FA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3 (0-4)</w:t>
            </w:r>
          </w:p>
        </w:tc>
        <w:tc>
          <w:tcPr>
            <w:tcW w:w="1276" w:type="dxa"/>
          </w:tcPr>
          <w:p w14:paraId="71D1FE06" w14:textId="21EADEE1" w:rsidR="002446FA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3 (2-5)</w:t>
            </w:r>
          </w:p>
        </w:tc>
        <w:tc>
          <w:tcPr>
            <w:tcW w:w="1276" w:type="dxa"/>
          </w:tcPr>
          <w:p w14:paraId="200B209F" w14:textId="36771BB6" w:rsidR="002446FA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3 (1-6)</w:t>
            </w:r>
          </w:p>
        </w:tc>
        <w:tc>
          <w:tcPr>
            <w:tcW w:w="1276" w:type="dxa"/>
          </w:tcPr>
          <w:p w14:paraId="65EF3D1D" w14:textId="4DF39E31" w:rsidR="002446FA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7 (6-11)</w:t>
            </w:r>
          </w:p>
        </w:tc>
      </w:tr>
      <w:tr w:rsidR="007F17FB" w:rsidRPr="007F17FB" w14:paraId="23B906C1" w14:textId="77777777" w:rsidTr="0023032E">
        <w:trPr>
          <w:cantSplit/>
        </w:trPr>
        <w:tc>
          <w:tcPr>
            <w:tcW w:w="3114" w:type="dxa"/>
          </w:tcPr>
          <w:p w14:paraId="7473F224" w14:textId="6CEE96C3" w:rsidR="002446FA" w:rsidRPr="007F17FB" w:rsidRDefault="00346CE3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 xml:space="preserve">EN-RBD </w:t>
            </w:r>
            <w:r w:rsidR="0057112B"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grade (%)</w:t>
            </w:r>
          </w:p>
          <w:p w14:paraId="00FEF05C" w14:textId="690B1343" w:rsidR="0057112B" w:rsidRPr="007F17FB" w:rsidRDefault="0057112B" w:rsidP="0057112B">
            <w:pPr>
              <w:adjustRightInd w:val="0"/>
              <w:snapToGrid w:val="0"/>
              <w:jc w:val="right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No bleeding</w:t>
            </w:r>
          </w:p>
          <w:p w14:paraId="2E662CD8" w14:textId="484E8880" w:rsidR="0057112B" w:rsidRPr="007F17FB" w:rsidRDefault="0057112B" w:rsidP="0057112B">
            <w:pPr>
              <w:adjustRightInd w:val="0"/>
              <w:snapToGrid w:val="0"/>
              <w:jc w:val="right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Grade 3 (severe)</w:t>
            </w:r>
          </w:p>
        </w:tc>
        <w:tc>
          <w:tcPr>
            <w:tcW w:w="1276" w:type="dxa"/>
          </w:tcPr>
          <w:p w14:paraId="09313AE7" w14:textId="77777777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</w:p>
          <w:p w14:paraId="1C59DA71" w14:textId="77777777" w:rsidR="0057112B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25</w:t>
            </w:r>
          </w:p>
          <w:p w14:paraId="20D32300" w14:textId="7C37C4ED" w:rsidR="0057112B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25</w:t>
            </w:r>
          </w:p>
        </w:tc>
        <w:tc>
          <w:tcPr>
            <w:tcW w:w="1275" w:type="dxa"/>
          </w:tcPr>
          <w:p w14:paraId="1F73EC39" w14:textId="77777777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</w:p>
          <w:p w14:paraId="14B41CBE" w14:textId="77777777" w:rsidR="0057112B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42</w:t>
            </w:r>
          </w:p>
          <w:p w14:paraId="5EF28A3E" w14:textId="4AEAA9CE" w:rsidR="0057112B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16</w:t>
            </w:r>
          </w:p>
        </w:tc>
        <w:tc>
          <w:tcPr>
            <w:tcW w:w="1276" w:type="dxa"/>
          </w:tcPr>
          <w:p w14:paraId="206D5B3C" w14:textId="77777777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</w:p>
          <w:p w14:paraId="0D7E0FFE" w14:textId="77777777" w:rsidR="0057112B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</w:t>
            </w:r>
          </w:p>
          <w:p w14:paraId="19AE6529" w14:textId="7589B560" w:rsidR="0057112B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25</w:t>
            </w:r>
          </w:p>
        </w:tc>
        <w:tc>
          <w:tcPr>
            <w:tcW w:w="1276" w:type="dxa"/>
          </w:tcPr>
          <w:p w14:paraId="00AC0517" w14:textId="77777777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</w:p>
          <w:p w14:paraId="49DBDE4E" w14:textId="77777777" w:rsidR="0057112B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29</w:t>
            </w:r>
          </w:p>
          <w:p w14:paraId="526B9A4E" w14:textId="47557DA0" w:rsidR="0057112B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2</w:t>
            </w:r>
          </w:p>
        </w:tc>
        <w:tc>
          <w:tcPr>
            <w:tcW w:w="1276" w:type="dxa"/>
          </w:tcPr>
          <w:p w14:paraId="4FA054AC" w14:textId="77777777" w:rsidR="002446FA" w:rsidRPr="007F17FB" w:rsidRDefault="002446FA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</w:p>
          <w:p w14:paraId="29611B5F" w14:textId="77777777" w:rsidR="0057112B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</w:t>
            </w:r>
          </w:p>
          <w:p w14:paraId="050B75F6" w14:textId="219ABE73" w:rsidR="0057112B" w:rsidRPr="007F17FB" w:rsidRDefault="0057112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17</w:t>
            </w:r>
          </w:p>
        </w:tc>
      </w:tr>
      <w:tr w:rsidR="007F17FB" w:rsidRPr="007F17FB" w14:paraId="03905396" w14:textId="77777777" w:rsidTr="0023032E">
        <w:trPr>
          <w:cantSplit/>
        </w:trPr>
        <w:tc>
          <w:tcPr>
            <w:tcW w:w="3114" w:type="dxa"/>
          </w:tcPr>
          <w:p w14:paraId="0C44F049" w14:textId="26806647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ISTH-BAT vs factor activity (r</w:t>
            </w: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vertAlign w:val="superscript"/>
                <w:lang w:val="en-GB"/>
              </w:rPr>
              <w:t>2</w:t>
            </w: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)</w:t>
            </w:r>
          </w:p>
        </w:tc>
        <w:tc>
          <w:tcPr>
            <w:tcW w:w="1276" w:type="dxa"/>
          </w:tcPr>
          <w:p w14:paraId="4BC2CFA6" w14:textId="1733197A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0.5525</w:t>
            </w:r>
          </w:p>
        </w:tc>
        <w:tc>
          <w:tcPr>
            <w:tcW w:w="1275" w:type="dxa"/>
          </w:tcPr>
          <w:p w14:paraId="0BA4F6D0" w14:textId="58457D49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0.1597</w:t>
            </w:r>
          </w:p>
        </w:tc>
        <w:tc>
          <w:tcPr>
            <w:tcW w:w="1276" w:type="dxa"/>
          </w:tcPr>
          <w:p w14:paraId="529D456E" w14:textId="6E87EFBC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0.5717</w:t>
            </w:r>
          </w:p>
        </w:tc>
        <w:tc>
          <w:tcPr>
            <w:tcW w:w="1276" w:type="dxa"/>
          </w:tcPr>
          <w:p w14:paraId="767D6BD1" w14:textId="0644953A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0.0187</w:t>
            </w:r>
          </w:p>
        </w:tc>
        <w:tc>
          <w:tcPr>
            <w:tcW w:w="1276" w:type="dxa"/>
          </w:tcPr>
          <w:p w14:paraId="449E2F7B" w14:textId="35A71CA1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0.3447</w:t>
            </w:r>
          </w:p>
        </w:tc>
      </w:tr>
      <w:tr w:rsidR="007F17FB" w:rsidRPr="007F17FB" w14:paraId="5C211007" w14:textId="77777777" w:rsidTr="0023032E">
        <w:trPr>
          <w:cantSplit/>
        </w:trPr>
        <w:tc>
          <w:tcPr>
            <w:tcW w:w="3114" w:type="dxa"/>
          </w:tcPr>
          <w:p w14:paraId="52E3430F" w14:textId="26E07B39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EN-RBD vs factor activity (r</w:t>
            </w: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vertAlign w:val="superscript"/>
                <w:lang w:val="en-GB"/>
              </w:rPr>
              <w:t>2</w:t>
            </w: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)</w:t>
            </w:r>
          </w:p>
        </w:tc>
        <w:tc>
          <w:tcPr>
            <w:tcW w:w="1276" w:type="dxa"/>
          </w:tcPr>
          <w:p w14:paraId="73907EAC" w14:textId="12BE208A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0.8596</w:t>
            </w:r>
          </w:p>
        </w:tc>
        <w:tc>
          <w:tcPr>
            <w:tcW w:w="1275" w:type="dxa"/>
          </w:tcPr>
          <w:p w14:paraId="09587FBA" w14:textId="73CF4D68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0.0487</w:t>
            </w:r>
          </w:p>
        </w:tc>
        <w:tc>
          <w:tcPr>
            <w:tcW w:w="1276" w:type="dxa"/>
          </w:tcPr>
          <w:p w14:paraId="2328C422" w14:textId="4A8EC972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0.2173</w:t>
            </w:r>
          </w:p>
        </w:tc>
        <w:tc>
          <w:tcPr>
            <w:tcW w:w="1276" w:type="dxa"/>
          </w:tcPr>
          <w:p w14:paraId="6DF923B7" w14:textId="1F7C3092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0.0112</w:t>
            </w:r>
          </w:p>
        </w:tc>
        <w:tc>
          <w:tcPr>
            <w:tcW w:w="1276" w:type="dxa"/>
          </w:tcPr>
          <w:p w14:paraId="09DC1BBE" w14:textId="4B41543D" w:rsidR="002446FA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0.4402</w:t>
            </w:r>
          </w:p>
        </w:tc>
      </w:tr>
      <w:tr w:rsidR="007F17FB" w:rsidRPr="007F17FB" w14:paraId="681B9D4D" w14:textId="77777777" w:rsidTr="0023032E">
        <w:trPr>
          <w:cantSplit/>
        </w:trPr>
        <w:tc>
          <w:tcPr>
            <w:tcW w:w="3114" w:type="dxa"/>
          </w:tcPr>
          <w:p w14:paraId="48AF9FAE" w14:textId="740F4717" w:rsidR="007F17FB" w:rsidRPr="007F17FB" w:rsidRDefault="00AD2DEA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Peri-procedural</w:t>
            </w: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 xml:space="preserve">prophylactic </w:t>
            </w:r>
            <w:r w:rsidR="007F17FB"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haemostatic agent use (%)</w:t>
            </w:r>
          </w:p>
        </w:tc>
        <w:tc>
          <w:tcPr>
            <w:tcW w:w="1276" w:type="dxa"/>
          </w:tcPr>
          <w:p w14:paraId="148DA8A3" w14:textId="5465F2D9" w:rsidR="007F17FB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25</w:t>
            </w:r>
          </w:p>
        </w:tc>
        <w:tc>
          <w:tcPr>
            <w:tcW w:w="1275" w:type="dxa"/>
          </w:tcPr>
          <w:p w14:paraId="198B2133" w14:textId="4D7E5251" w:rsidR="007F17FB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31</w:t>
            </w:r>
          </w:p>
        </w:tc>
        <w:tc>
          <w:tcPr>
            <w:tcW w:w="1276" w:type="dxa"/>
          </w:tcPr>
          <w:p w14:paraId="09856CE9" w14:textId="74488CA7" w:rsidR="007F17FB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 w:rsidRPr="007F17FB"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25</w:t>
            </w:r>
          </w:p>
        </w:tc>
        <w:tc>
          <w:tcPr>
            <w:tcW w:w="1276" w:type="dxa"/>
          </w:tcPr>
          <w:p w14:paraId="5EAFCFC7" w14:textId="465D1178" w:rsidR="007F17FB" w:rsidRPr="007F17FB" w:rsidRDefault="007F17FB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43</w:t>
            </w:r>
          </w:p>
        </w:tc>
        <w:tc>
          <w:tcPr>
            <w:tcW w:w="1276" w:type="dxa"/>
          </w:tcPr>
          <w:p w14:paraId="19C2FAC8" w14:textId="7FF6B4EA" w:rsidR="007F17FB" w:rsidRPr="007F17FB" w:rsidRDefault="000B182A" w:rsidP="002446FA">
            <w:pPr>
              <w:adjustRightInd w:val="0"/>
              <w:snapToGrid w:val="0"/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</w:pPr>
            <w:r>
              <w:rPr>
                <w:rFonts w:ascii="Helvetica" w:hAnsi="Helvetica" w:cs="Helvetica"/>
                <w:color w:val="231F20"/>
                <w:shd w:val="clear" w:color="auto" w:fill="FFFFFF"/>
                <w:lang w:val="en-GB"/>
              </w:rPr>
              <w:t>20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†</w:t>
            </w:r>
          </w:p>
        </w:tc>
      </w:tr>
    </w:tbl>
    <w:p w14:paraId="466B1FF6" w14:textId="35028C10" w:rsidR="00AD2DEA" w:rsidRDefault="0057112B" w:rsidP="00AD2DEA">
      <w:pPr>
        <w:adjustRightInd w:val="0"/>
        <w:snapToGri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GB"/>
        </w:rPr>
      </w:pPr>
      <w:r w:rsidRPr="007F17FB">
        <w:rPr>
          <w:rFonts w:ascii="Arial" w:hAnsi="Arial" w:cs="Arial"/>
          <w:color w:val="231F20"/>
          <w:sz w:val="20"/>
          <w:szCs w:val="20"/>
          <w:lang w:val="en-GB"/>
        </w:rPr>
        <w:t>All data are median (IQR), unless otherwise stated.</w:t>
      </w:r>
      <w:r w:rsidR="00AD2DEA">
        <w:rPr>
          <w:rFonts w:ascii="Arial" w:hAnsi="Arial" w:cs="Arial"/>
          <w:color w:val="231F20"/>
          <w:sz w:val="20"/>
          <w:szCs w:val="20"/>
          <w:lang w:val="en-GB"/>
        </w:rPr>
        <w:t xml:space="preserve"> </w:t>
      </w:r>
    </w:p>
    <w:p w14:paraId="4D284614" w14:textId="00ACFB41" w:rsidR="00AD2DEA" w:rsidRDefault="000B182A" w:rsidP="0023032E">
      <w:pPr>
        <w:adjustRightInd w:val="0"/>
        <w:snapToGrid w:val="0"/>
        <w:spacing w:after="0" w:line="240" w:lineRule="auto"/>
        <w:ind w:right="-188"/>
        <w:rPr>
          <w:rFonts w:ascii="Arial" w:hAnsi="Arial" w:cs="Arial"/>
          <w:color w:val="231F20"/>
          <w:sz w:val="20"/>
          <w:szCs w:val="20"/>
          <w:lang w:val="en-GB"/>
        </w:rPr>
      </w:pPr>
      <w:r w:rsidRPr="000B182A">
        <w:rPr>
          <w:rFonts w:ascii="Arial" w:hAnsi="Arial" w:cs="Arial"/>
          <w:color w:val="231F20"/>
          <w:sz w:val="20"/>
          <w:szCs w:val="20"/>
        </w:rPr>
        <w:t>†</w:t>
      </w:r>
      <w:r>
        <w:rPr>
          <w:rFonts w:ascii="Arial" w:hAnsi="Arial" w:cs="Arial"/>
          <w:color w:val="231F20"/>
          <w:sz w:val="20"/>
          <w:szCs w:val="20"/>
        </w:rPr>
        <w:t xml:space="preserve"> 5 of the 6 patients with FXIII deficiency were already receiving regular prophylactic FXIII concentrate</w:t>
      </w:r>
    </w:p>
    <w:p w14:paraId="71FF414C" w14:textId="77777777" w:rsidR="00AD2DEA" w:rsidRPr="0023032E" w:rsidRDefault="00AD2DEA" w:rsidP="004E5B2F">
      <w:pPr>
        <w:rPr>
          <w:rFonts w:ascii="Arial" w:hAnsi="Arial" w:cs="Arial"/>
          <w:color w:val="231F20"/>
          <w:sz w:val="20"/>
          <w:szCs w:val="20"/>
          <w:lang w:val="en-GB"/>
        </w:rPr>
      </w:pPr>
    </w:p>
    <w:p w14:paraId="0648403E" w14:textId="5B2A4835" w:rsidR="008A7BC5" w:rsidRDefault="004E5B2F" w:rsidP="004E5B2F">
      <w:pPr>
        <w:rPr>
          <w:rFonts w:ascii="Arial" w:hAnsi="Arial" w:cs="Arial"/>
          <w:b/>
          <w:bCs/>
          <w:color w:val="231F20"/>
        </w:rPr>
      </w:pPr>
      <w:r w:rsidRPr="004A4CBF">
        <w:rPr>
          <w:rFonts w:ascii="Arial" w:hAnsi="Arial" w:cs="Arial"/>
          <w:b/>
          <w:bCs/>
          <w:color w:val="231F20"/>
        </w:rPr>
        <w:t>Conclusion: </w:t>
      </w:r>
    </w:p>
    <w:p w14:paraId="446AAE9E" w14:textId="075D28EB" w:rsidR="00EB2157" w:rsidRPr="007F17FB" w:rsidRDefault="00B32C70" w:rsidP="004E5B2F">
      <w:pPr>
        <w:rPr>
          <w:rFonts w:ascii="Helvetica" w:hAnsi="Helvetica" w:cs="Helvetica"/>
          <w:color w:val="231F20"/>
          <w:shd w:val="clear" w:color="auto" w:fill="FFFFFF"/>
        </w:rPr>
      </w:pPr>
      <w:r>
        <w:rPr>
          <w:rFonts w:ascii="Helvetica" w:hAnsi="Helvetica" w:cs="Helvetica"/>
          <w:color w:val="231F20"/>
          <w:shd w:val="clear" w:color="auto" w:fill="FFFFFF"/>
        </w:rPr>
        <w:t>The relationship between factor activity and bleeding severity</w:t>
      </w:r>
      <w:r w:rsidR="000B182A">
        <w:rPr>
          <w:rFonts w:ascii="Helvetica" w:hAnsi="Helvetica" w:cs="Helvetica"/>
          <w:color w:val="231F20"/>
          <w:shd w:val="clear" w:color="auto" w:fill="FFFFFF"/>
        </w:rPr>
        <w:t xml:space="preserve"> by both tools</w:t>
      </w:r>
      <w:r>
        <w:rPr>
          <w:rFonts w:ascii="Helvetica" w:hAnsi="Helvetica" w:cs="Helvetica"/>
          <w:color w:val="231F20"/>
          <w:shd w:val="clear" w:color="auto" w:fill="FFFFFF"/>
        </w:rPr>
        <w:t xml:space="preserve"> </w:t>
      </w:r>
      <w:r w:rsidR="0030375D">
        <w:rPr>
          <w:rFonts w:ascii="Helvetica" w:hAnsi="Helvetica" w:cs="Helvetica"/>
          <w:color w:val="231F20"/>
          <w:shd w:val="clear" w:color="auto" w:fill="FFFFFF"/>
        </w:rPr>
        <w:t>was strongest for FV</w:t>
      </w:r>
      <w:r w:rsidR="000B182A">
        <w:rPr>
          <w:rFonts w:ascii="Helvetica" w:hAnsi="Helvetica" w:cs="Helvetica"/>
          <w:color w:val="231F20"/>
          <w:shd w:val="clear" w:color="auto" w:fill="FFFFFF"/>
        </w:rPr>
        <w:t>, FX</w:t>
      </w:r>
      <w:r w:rsidR="0030375D">
        <w:rPr>
          <w:rFonts w:ascii="Helvetica" w:hAnsi="Helvetica" w:cs="Helvetica"/>
          <w:color w:val="231F20"/>
          <w:shd w:val="clear" w:color="auto" w:fill="FFFFFF"/>
        </w:rPr>
        <w:t xml:space="preserve"> and FXIII and weakest for F</w:t>
      </w:r>
      <w:r w:rsidR="000A2D32">
        <w:rPr>
          <w:rFonts w:ascii="Helvetica" w:hAnsi="Helvetica" w:cs="Helvetica"/>
          <w:color w:val="231F20"/>
          <w:shd w:val="clear" w:color="auto" w:fill="FFFFFF"/>
        </w:rPr>
        <w:t>XI</w:t>
      </w:r>
      <w:r>
        <w:rPr>
          <w:rFonts w:ascii="Helvetica" w:hAnsi="Helvetica" w:cs="Helvetica"/>
          <w:color w:val="231F20"/>
          <w:shd w:val="clear" w:color="auto" w:fill="FFFFFF"/>
        </w:rPr>
        <w:t>,</w:t>
      </w:r>
      <w:r w:rsidR="00F22D81">
        <w:rPr>
          <w:rFonts w:ascii="Helvetica" w:hAnsi="Helvetica" w:cs="Helvetica"/>
          <w:color w:val="231F20"/>
          <w:shd w:val="clear" w:color="auto" w:fill="FFFFFF"/>
        </w:rPr>
        <w:t xml:space="preserve"> </w:t>
      </w:r>
      <w:r>
        <w:rPr>
          <w:rFonts w:ascii="Helvetica" w:hAnsi="Helvetica" w:cs="Helvetica"/>
          <w:color w:val="231F20"/>
          <w:shd w:val="clear" w:color="auto" w:fill="FFFFFF"/>
        </w:rPr>
        <w:t xml:space="preserve">similar to </w:t>
      </w:r>
      <w:r w:rsidR="00447ED4">
        <w:rPr>
          <w:rFonts w:ascii="Helvetica" w:hAnsi="Helvetica" w:cs="Helvetica"/>
          <w:color w:val="231F20"/>
          <w:shd w:val="clear" w:color="auto" w:fill="FFFFFF"/>
        </w:rPr>
        <w:t>previous reports</w:t>
      </w:r>
      <w:r>
        <w:rPr>
          <w:rFonts w:ascii="Helvetica" w:hAnsi="Helvetica" w:cs="Helvetica"/>
          <w:color w:val="231F20"/>
          <w:shd w:val="clear" w:color="auto" w:fill="FFFFFF"/>
        </w:rPr>
        <w:t xml:space="preserve">. </w:t>
      </w:r>
      <w:r w:rsidR="00447ED4">
        <w:rPr>
          <w:rFonts w:ascii="Helvetica" w:hAnsi="Helvetica" w:cs="Helvetica"/>
          <w:color w:val="231F20"/>
          <w:shd w:val="clear" w:color="auto" w:fill="FFFFFF"/>
        </w:rPr>
        <w:t>Prophylactic</w:t>
      </w:r>
      <w:r w:rsidR="004F6B5B">
        <w:rPr>
          <w:rFonts w:ascii="Helvetica" w:hAnsi="Helvetica" w:cs="Helvetica"/>
          <w:color w:val="231F20"/>
          <w:shd w:val="clear" w:color="auto" w:fill="FFFFFF"/>
        </w:rPr>
        <w:t xml:space="preserve"> use of FXI concentrate is common, despite</w:t>
      </w:r>
      <w:r>
        <w:rPr>
          <w:rFonts w:ascii="Helvetica" w:hAnsi="Helvetica" w:cs="Helvetica"/>
          <w:color w:val="231F20"/>
          <w:shd w:val="clear" w:color="auto" w:fill="FFFFFF"/>
        </w:rPr>
        <w:t xml:space="preserve"> F</w:t>
      </w:r>
      <w:r w:rsidR="000A2D32">
        <w:rPr>
          <w:rFonts w:ascii="Helvetica" w:hAnsi="Helvetica" w:cs="Helvetica"/>
          <w:color w:val="231F20"/>
          <w:shd w:val="clear" w:color="auto" w:fill="FFFFFF"/>
        </w:rPr>
        <w:t>XI</w:t>
      </w:r>
      <w:r>
        <w:rPr>
          <w:rFonts w:ascii="Helvetica" w:hAnsi="Helvetica" w:cs="Helvetica"/>
          <w:color w:val="231F20"/>
          <w:shd w:val="clear" w:color="auto" w:fill="FFFFFF"/>
        </w:rPr>
        <w:t xml:space="preserve"> deficiency </w:t>
      </w:r>
      <w:r w:rsidR="004F6B5B">
        <w:rPr>
          <w:rFonts w:ascii="Helvetica" w:hAnsi="Helvetica" w:cs="Helvetica"/>
          <w:color w:val="231F20"/>
          <w:shd w:val="clear" w:color="auto" w:fill="FFFFFF"/>
        </w:rPr>
        <w:t>having the mildest bleeding phenotype</w:t>
      </w:r>
      <w:r w:rsidR="00DF1E5B">
        <w:rPr>
          <w:rFonts w:ascii="Helvetica" w:hAnsi="Helvetica" w:cs="Helvetica"/>
          <w:color w:val="231F20"/>
          <w:shd w:val="clear" w:color="auto" w:fill="FFFFFF"/>
        </w:rPr>
        <w:t xml:space="preserve"> at presentation</w:t>
      </w:r>
      <w:r w:rsidR="004F6B5B">
        <w:rPr>
          <w:rFonts w:ascii="Helvetica" w:hAnsi="Helvetica" w:cs="Helvetica"/>
          <w:color w:val="231F20"/>
          <w:shd w:val="clear" w:color="auto" w:fill="FFFFFF"/>
        </w:rPr>
        <w:t xml:space="preserve"> and weakest correlation between factor activity and bleedin</w:t>
      </w:r>
      <w:r w:rsidR="0023032E">
        <w:rPr>
          <w:rFonts w:ascii="Helvetica" w:hAnsi="Helvetica" w:cs="Helvetica"/>
          <w:color w:val="231F20"/>
          <w:shd w:val="clear" w:color="auto" w:fill="FFFFFF"/>
        </w:rPr>
        <w:t>g</w:t>
      </w:r>
      <w:r w:rsidR="004F6B5B">
        <w:rPr>
          <w:rFonts w:ascii="Helvetica" w:hAnsi="Helvetica" w:cs="Helvetica"/>
          <w:color w:val="231F20"/>
          <w:shd w:val="clear" w:color="auto" w:fill="FFFFFF"/>
        </w:rPr>
        <w:t xml:space="preserve">. </w:t>
      </w:r>
    </w:p>
    <w:sectPr w:rsidR="00EB2157" w:rsidRPr="007F1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5"/>
    <w:rsid w:val="00052BB1"/>
    <w:rsid w:val="00093EB0"/>
    <w:rsid w:val="000A2D32"/>
    <w:rsid w:val="000B182A"/>
    <w:rsid w:val="000C30A1"/>
    <w:rsid w:val="000C59D5"/>
    <w:rsid w:val="000E2613"/>
    <w:rsid w:val="00163E0D"/>
    <w:rsid w:val="002048FD"/>
    <w:rsid w:val="0023032E"/>
    <w:rsid w:val="002446FA"/>
    <w:rsid w:val="0030375D"/>
    <w:rsid w:val="00346CE3"/>
    <w:rsid w:val="003B52FD"/>
    <w:rsid w:val="00447ED4"/>
    <w:rsid w:val="004757CD"/>
    <w:rsid w:val="00495035"/>
    <w:rsid w:val="004D0AA8"/>
    <w:rsid w:val="004E5B2F"/>
    <w:rsid w:val="004F6B5B"/>
    <w:rsid w:val="0057112B"/>
    <w:rsid w:val="005D7F52"/>
    <w:rsid w:val="00670BC5"/>
    <w:rsid w:val="00672690"/>
    <w:rsid w:val="007250CB"/>
    <w:rsid w:val="0072647A"/>
    <w:rsid w:val="00760304"/>
    <w:rsid w:val="007816A7"/>
    <w:rsid w:val="007F17FB"/>
    <w:rsid w:val="0081764E"/>
    <w:rsid w:val="008A7BC5"/>
    <w:rsid w:val="00915547"/>
    <w:rsid w:val="009A4970"/>
    <w:rsid w:val="00A27C7D"/>
    <w:rsid w:val="00A6765D"/>
    <w:rsid w:val="00AA456A"/>
    <w:rsid w:val="00AB39B6"/>
    <w:rsid w:val="00AD2DEA"/>
    <w:rsid w:val="00B32C70"/>
    <w:rsid w:val="00BB5707"/>
    <w:rsid w:val="00CD119B"/>
    <w:rsid w:val="00CF26B6"/>
    <w:rsid w:val="00DF1E5B"/>
    <w:rsid w:val="00E919AE"/>
    <w:rsid w:val="00EB2157"/>
    <w:rsid w:val="00EC5FC4"/>
    <w:rsid w:val="00EE1B49"/>
    <w:rsid w:val="00F22D81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  <w15:chartTrackingRefBased/>
  <w15:docId w15:val="{39248893-B0EE-4170-8FC8-21E15E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7E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7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E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2" ma:contentTypeDescription="Create a new document." ma:contentTypeScope="" ma:versionID="668758aab7edb84ef94c096d5b622e5c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21634f6cd73fdeb0cd35c6e0e268ba57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5452E-2F28-4293-949E-0F14CC3D8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C317C-951C-4CFE-91F6-CE0528EE0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Rozanne</dc:creator>
  <cp:keywords/>
  <dc:description/>
  <cp:lastModifiedBy>Megan Sarson</cp:lastModifiedBy>
  <cp:revision>2</cp:revision>
  <dcterms:created xsi:type="dcterms:W3CDTF">2023-11-16T23:20:00Z</dcterms:created>
  <dcterms:modified xsi:type="dcterms:W3CDTF">2023-11-16T23:20:00Z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45</vt:lpwstr>
  </property>
</Properties>
</file>