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AA88" w14:textId="77777777" w:rsidR="00C110CE" w:rsidRPr="00415103" w:rsidRDefault="00C110CE" w:rsidP="00C110CE">
      <w:pPr>
        <w:pStyle w:val="AbstractBookPaperTitle"/>
        <w:rPr>
          <w:rFonts w:ascii="Arial" w:hAnsi="Arial" w:cs="Arial"/>
          <w:b/>
          <w:bCs/>
          <w:sz w:val="22"/>
        </w:rPr>
      </w:pPr>
      <w:r w:rsidRPr="00415103">
        <w:rPr>
          <w:rFonts w:ascii="Arial" w:hAnsi="Arial" w:cs="Arial"/>
          <w:b/>
          <w:bCs/>
          <w:sz w:val="22"/>
        </w:rPr>
        <w:t>Acquired haemophilia A: insight into treatment and outcomes from an Australian tertiary referral centre.</w:t>
      </w:r>
    </w:p>
    <w:p w14:paraId="2DB20497" w14:textId="77777777" w:rsidR="00C110CE" w:rsidRPr="00415103" w:rsidRDefault="00C110CE" w:rsidP="00C110CE">
      <w:pPr>
        <w:pStyle w:val="AbstractBookAuthors"/>
        <w:rPr>
          <w:rFonts w:ascii="Arial" w:hAnsi="Arial" w:cs="Arial"/>
          <w:i/>
          <w:sz w:val="20"/>
          <w:szCs w:val="20"/>
        </w:rPr>
      </w:pPr>
      <w:r w:rsidRPr="00415103">
        <w:rPr>
          <w:rStyle w:val="AbstractBookPresentingAuthor"/>
          <w:rFonts w:ascii="Arial" w:hAnsi="Arial" w:cs="Arial"/>
        </w:rPr>
        <w:t>Miss Amanda Tee</w:t>
      </w:r>
      <w:r w:rsidRPr="003F0280">
        <w:rPr>
          <w:rStyle w:val="AbstractBookPresentingAuthor"/>
          <w:rFonts w:ascii="Arial" w:hAnsi="Arial" w:cs="Arial"/>
          <w:vertAlign w:val="superscript"/>
        </w:rPr>
        <w:t>1</w:t>
      </w:r>
      <w:r>
        <w:rPr>
          <w:rFonts w:ascii="Arial" w:hAnsi="Arial" w:cs="Arial"/>
        </w:rPr>
        <w:t xml:space="preserve">, </w:t>
      </w:r>
      <w:r w:rsidRPr="00415103">
        <w:rPr>
          <w:rFonts w:ascii="Arial" w:hAnsi="Arial" w:cs="Arial"/>
          <w:i/>
          <w:sz w:val="20"/>
          <w:szCs w:val="20"/>
        </w:rPr>
        <w:t>Dr Caroline Dix</w:t>
      </w:r>
      <w:r w:rsidRPr="00415103">
        <w:rPr>
          <w:rFonts w:ascii="Arial" w:hAnsi="Arial" w:cs="Arial"/>
          <w:i/>
          <w:sz w:val="20"/>
          <w:szCs w:val="20"/>
          <w:vertAlign w:val="superscript"/>
        </w:rPr>
        <w:t>1</w:t>
      </w:r>
      <w:r w:rsidRPr="00415103">
        <w:rPr>
          <w:rFonts w:ascii="Arial" w:hAnsi="Arial" w:cs="Arial"/>
          <w:i/>
          <w:sz w:val="20"/>
          <w:szCs w:val="20"/>
        </w:rPr>
        <w:t>,</w:t>
      </w:r>
    </w:p>
    <w:p w14:paraId="2166DEE3" w14:textId="77777777" w:rsidR="00C110CE" w:rsidRPr="00415103" w:rsidRDefault="00C110CE" w:rsidP="00C110CE">
      <w:pPr>
        <w:pStyle w:val="AbstractBookAffiliations"/>
        <w:rPr>
          <w:rFonts w:ascii="Arial" w:hAnsi="Arial" w:cs="Arial"/>
          <w:iCs/>
          <w:szCs w:val="20"/>
        </w:rPr>
      </w:pPr>
      <w:r w:rsidRPr="00415103">
        <w:rPr>
          <w:rFonts w:ascii="Arial" w:hAnsi="Arial" w:cs="Arial"/>
          <w:iCs/>
          <w:szCs w:val="20"/>
          <w:vertAlign w:val="superscript"/>
        </w:rPr>
        <w:t>1</w:t>
      </w:r>
      <w:r w:rsidRPr="00415103">
        <w:rPr>
          <w:rFonts w:ascii="Arial" w:hAnsi="Arial" w:cs="Arial"/>
          <w:iCs/>
          <w:szCs w:val="20"/>
        </w:rPr>
        <w:t xml:space="preserve">Australian Centre for Blood Diseases, Central Clinical School, Monash University, Melbourne, Australia, </w:t>
      </w:r>
      <w:r w:rsidRPr="00415103">
        <w:rPr>
          <w:rFonts w:ascii="Arial" w:hAnsi="Arial" w:cs="Arial"/>
          <w:iCs/>
          <w:szCs w:val="20"/>
          <w:vertAlign w:val="superscript"/>
        </w:rPr>
        <w:t>2</w:t>
      </w:r>
      <w:r w:rsidRPr="00415103">
        <w:rPr>
          <w:rFonts w:ascii="Arial" w:hAnsi="Arial" w:cs="Arial"/>
          <w:iCs/>
          <w:szCs w:val="20"/>
        </w:rPr>
        <w:t>Haemophilia Treatment Centre, The Alfred Hospital, Melbourne, Australia</w:t>
      </w:r>
    </w:p>
    <w:p w14:paraId="02816FA1" w14:textId="77777777" w:rsidR="00C110CE" w:rsidRPr="00415103" w:rsidRDefault="00C110CE" w:rsidP="00C110CE">
      <w:pPr>
        <w:shd w:val="clear" w:color="auto" w:fill="FFFFFF"/>
        <w:spacing w:before="100" w:beforeAutospacing="1" w:after="180"/>
        <w:rPr>
          <w:rFonts w:ascii="Arial" w:hAnsi="Arial" w:cs="Arial"/>
          <w:b/>
          <w:bCs/>
          <w:color w:val="231F20"/>
        </w:rPr>
      </w:pPr>
      <w:r w:rsidRPr="00415103">
        <w:rPr>
          <w:rFonts w:ascii="Arial" w:hAnsi="Arial" w:cs="Arial"/>
          <w:b/>
          <w:bCs/>
          <w:color w:val="231F20"/>
        </w:rPr>
        <w:t>Aim: </w:t>
      </w:r>
      <w:r w:rsidRPr="00415103">
        <w:rPr>
          <w:rFonts w:ascii="Arial" w:hAnsi="Arial" w:cs="Arial"/>
        </w:rPr>
        <w:t xml:space="preserve">Acquired haemophilia A (AHA) is a rare autoimmune bleeding disorder associated with significant morbidity and mortality. Its rarity contributes to the limited data regarding characteristics and outcomes. We reviewed all cases of AHA managed at our institution, the state Haemophilia Treatment Centre, between 2010 and 2020. </w:t>
      </w:r>
    </w:p>
    <w:p w14:paraId="3AA419B4" w14:textId="77777777" w:rsidR="00C110CE" w:rsidRPr="00415103" w:rsidRDefault="00C110CE" w:rsidP="00C110CE">
      <w:pPr>
        <w:shd w:val="clear" w:color="auto" w:fill="FFFFFF"/>
        <w:spacing w:before="100" w:beforeAutospacing="1" w:after="180"/>
        <w:rPr>
          <w:rFonts w:ascii="Arial" w:hAnsi="Arial" w:cs="Arial"/>
          <w:b/>
          <w:bCs/>
          <w:color w:val="231F20"/>
        </w:rPr>
      </w:pPr>
      <w:r w:rsidRPr="00415103">
        <w:rPr>
          <w:rFonts w:ascii="Arial" w:hAnsi="Arial" w:cs="Arial"/>
          <w:b/>
          <w:bCs/>
          <w:color w:val="231F20"/>
        </w:rPr>
        <w:t>Method: </w:t>
      </w:r>
      <w:r w:rsidRPr="00415103">
        <w:rPr>
          <w:rFonts w:ascii="Arial" w:hAnsi="Arial" w:cs="Arial"/>
        </w:rPr>
        <w:t xml:space="preserve">38 patients were identified from our database. Data regarding demographics, diagnosis, bleeding episodes, treatment and complications were collected and analysed. Patients were followed from diagnosis to end of review.   </w:t>
      </w:r>
    </w:p>
    <w:p w14:paraId="447ADA4C" w14:textId="77777777" w:rsidR="00C110CE" w:rsidRPr="00415103" w:rsidRDefault="00C110CE" w:rsidP="00C110CE">
      <w:pPr>
        <w:shd w:val="clear" w:color="auto" w:fill="FFFFFF"/>
        <w:spacing w:before="100" w:beforeAutospacing="1" w:after="180"/>
        <w:rPr>
          <w:rFonts w:ascii="Arial" w:hAnsi="Arial" w:cs="Arial"/>
        </w:rPr>
      </w:pPr>
      <w:r w:rsidRPr="00415103">
        <w:rPr>
          <w:rFonts w:ascii="Arial" w:hAnsi="Arial" w:cs="Arial"/>
          <w:b/>
          <w:bCs/>
          <w:color w:val="231F20"/>
        </w:rPr>
        <w:t>Results: </w:t>
      </w:r>
      <w:r w:rsidRPr="00415103">
        <w:rPr>
          <w:rFonts w:ascii="Arial" w:hAnsi="Arial" w:cs="Arial"/>
        </w:rPr>
        <w:t xml:space="preserve">Baseline characteristics are outlined in Table 1. The mean duration between bleeding onset and diagnosis was 15 days (range 1-180). Over 70% presented with spontaneous bleeding and common locations were subcutaneous (36%) and intramuscular (13%). 63% of bleeding episodes were classified as severe; no association was found between FVIII level or FVIII inhibitor titre and bleeding severity. 89% of patients required haemostatic therapy, most commonly </w:t>
      </w:r>
      <w:proofErr w:type="spellStart"/>
      <w:r w:rsidRPr="00415103">
        <w:rPr>
          <w:rFonts w:ascii="Arial" w:hAnsi="Arial" w:cs="Arial"/>
        </w:rPr>
        <w:t>rFVIIa</w:t>
      </w:r>
      <w:proofErr w:type="spellEnd"/>
      <w:r w:rsidRPr="00415103">
        <w:rPr>
          <w:rFonts w:ascii="Arial" w:hAnsi="Arial" w:cs="Arial"/>
        </w:rPr>
        <w:t xml:space="preserve"> or a combination of agents. The majority of patients (86%) received a combination of prednisone, cyclophosphamide and/or rituximab as immunosuppressive therapy (IST) for inhibitor eradication. Median follow-up time was 46.5 months during which 87% achieved a complete remission (CR) and 30% relapsed at a mean of 345 days after initial remission. No association was found between any baseline characteristics (table 1) or IST regimen and likelihood of CR or relapse. 63% had ≥1 complication, which were more likely with combination IST. There were no deaths. </w:t>
      </w:r>
    </w:p>
    <w:p w14:paraId="3815602A" w14:textId="77777777" w:rsidR="00C110CE" w:rsidRPr="00415103" w:rsidRDefault="00C110CE" w:rsidP="00C110CE">
      <w:pPr>
        <w:rPr>
          <w:rFonts w:ascii="Arial" w:hAnsi="Arial" w:cs="Arial"/>
        </w:rPr>
      </w:pPr>
      <w:r w:rsidRPr="00415103">
        <w:rPr>
          <w:rFonts w:ascii="Arial" w:hAnsi="Arial" w:cs="Arial"/>
        </w:rPr>
        <w:t>Table 1</w:t>
      </w:r>
    </w:p>
    <w:tbl>
      <w:tblPr>
        <w:tblStyle w:val="TableGrid"/>
        <w:tblpPr w:leftFromText="180" w:rightFromText="180" w:vertAnchor="text" w:horzAnchor="margin" w:tblpY="-433"/>
        <w:tblW w:w="0" w:type="auto"/>
        <w:tblLook w:val="04A0" w:firstRow="1" w:lastRow="0" w:firstColumn="1" w:lastColumn="0" w:noHBand="0" w:noVBand="1"/>
      </w:tblPr>
      <w:tblGrid>
        <w:gridCol w:w="4508"/>
        <w:gridCol w:w="4508"/>
      </w:tblGrid>
      <w:tr w:rsidR="00C110CE" w:rsidRPr="00415103" w14:paraId="4CA3577B" w14:textId="77777777" w:rsidTr="00097D09">
        <w:tc>
          <w:tcPr>
            <w:tcW w:w="4508" w:type="dxa"/>
          </w:tcPr>
          <w:p w14:paraId="2716FAD5" w14:textId="77777777" w:rsidR="00C110CE" w:rsidRPr="00415103" w:rsidRDefault="00C110CE" w:rsidP="00097D09">
            <w:pPr>
              <w:rPr>
                <w:rFonts w:ascii="Arial" w:hAnsi="Arial" w:cs="Arial"/>
                <w:b/>
                <w:sz w:val="22"/>
                <w:szCs w:val="22"/>
              </w:rPr>
            </w:pPr>
            <w:r w:rsidRPr="00415103">
              <w:rPr>
                <w:rFonts w:ascii="Arial" w:hAnsi="Arial" w:cs="Arial"/>
                <w:b/>
                <w:sz w:val="22"/>
                <w:szCs w:val="22"/>
              </w:rPr>
              <w:t>Baseline characteristics</w:t>
            </w:r>
          </w:p>
        </w:tc>
        <w:tc>
          <w:tcPr>
            <w:tcW w:w="4508" w:type="dxa"/>
          </w:tcPr>
          <w:p w14:paraId="37A19379" w14:textId="77777777" w:rsidR="00C110CE" w:rsidRPr="00415103" w:rsidRDefault="00C110CE" w:rsidP="00097D09">
            <w:pPr>
              <w:rPr>
                <w:rFonts w:ascii="Arial" w:hAnsi="Arial" w:cs="Arial"/>
                <w:b/>
                <w:sz w:val="22"/>
                <w:szCs w:val="22"/>
              </w:rPr>
            </w:pPr>
            <w:r w:rsidRPr="00415103">
              <w:rPr>
                <w:rFonts w:ascii="Arial" w:hAnsi="Arial" w:cs="Arial"/>
                <w:b/>
                <w:sz w:val="22"/>
                <w:szCs w:val="22"/>
              </w:rPr>
              <w:t>Data</w:t>
            </w:r>
          </w:p>
        </w:tc>
      </w:tr>
      <w:tr w:rsidR="00C110CE" w:rsidRPr="00415103" w14:paraId="06AE3AF8" w14:textId="77777777" w:rsidTr="00097D09">
        <w:tc>
          <w:tcPr>
            <w:tcW w:w="4508" w:type="dxa"/>
          </w:tcPr>
          <w:p w14:paraId="315FF150" w14:textId="77777777" w:rsidR="00C110CE" w:rsidRPr="00415103" w:rsidRDefault="00C110CE" w:rsidP="00097D09">
            <w:pPr>
              <w:rPr>
                <w:rFonts w:ascii="Arial" w:hAnsi="Arial" w:cs="Arial"/>
                <w:sz w:val="22"/>
                <w:szCs w:val="22"/>
              </w:rPr>
            </w:pPr>
            <w:r w:rsidRPr="00415103">
              <w:rPr>
                <w:rFonts w:ascii="Arial" w:hAnsi="Arial" w:cs="Arial"/>
                <w:sz w:val="22"/>
                <w:szCs w:val="22"/>
              </w:rPr>
              <w:t>Male, n (%)</w:t>
            </w:r>
          </w:p>
        </w:tc>
        <w:tc>
          <w:tcPr>
            <w:tcW w:w="4508" w:type="dxa"/>
          </w:tcPr>
          <w:p w14:paraId="48B9458E" w14:textId="77777777" w:rsidR="00C110CE" w:rsidRPr="00415103" w:rsidRDefault="00C110CE" w:rsidP="00097D09">
            <w:pPr>
              <w:rPr>
                <w:rFonts w:ascii="Arial" w:hAnsi="Arial" w:cs="Arial"/>
                <w:sz w:val="22"/>
                <w:szCs w:val="22"/>
              </w:rPr>
            </w:pPr>
            <w:r w:rsidRPr="00415103">
              <w:rPr>
                <w:rFonts w:ascii="Arial" w:hAnsi="Arial" w:cs="Arial"/>
                <w:sz w:val="22"/>
                <w:szCs w:val="22"/>
              </w:rPr>
              <w:t>21 (55)</w:t>
            </w:r>
          </w:p>
        </w:tc>
      </w:tr>
      <w:tr w:rsidR="00C110CE" w:rsidRPr="00415103" w14:paraId="32CC16D8" w14:textId="77777777" w:rsidTr="00097D09">
        <w:tc>
          <w:tcPr>
            <w:tcW w:w="4508" w:type="dxa"/>
          </w:tcPr>
          <w:p w14:paraId="65190286" w14:textId="77777777" w:rsidR="00C110CE" w:rsidRPr="00415103" w:rsidRDefault="00C110CE" w:rsidP="00097D09">
            <w:pPr>
              <w:rPr>
                <w:rFonts w:ascii="Arial" w:hAnsi="Arial" w:cs="Arial"/>
                <w:sz w:val="22"/>
                <w:szCs w:val="22"/>
              </w:rPr>
            </w:pPr>
            <w:r w:rsidRPr="00415103">
              <w:rPr>
                <w:rFonts w:ascii="Arial" w:hAnsi="Arial" w:cs="Arial"/>
                <w:sz w:val="22"/>
                <w:szCs w:val="22"/>
              </w:rPr>
              <w:t>Median age, years (range)</w:t>
            </w:r>
          </w:p>
        </w:tc>
        <w:tc>
          <w:tcPr>
            <w:tcW w:w="4508" w:type="dxa"/>
          </w:tcPr>
          <w:p w14:paraId="0B82C4FF" w14:textId="77777777" w:rsidR="00C110CE" w:rsidRPr="00415103" w:rsidRDefault="00C110CE" w:rsidP="00097D09">
            <w:pPr>
              <w:rPr>
                <w:rFonts w:ascii="Arial" w:hAnsi="Arial" w:cs="Arial"/>
                <w:sz w:val="22"/>
                <w:szCs w:val="22"/>
              </w:rPr>
            </w:pPr>
            <w:r w:rsidRPr="00415103">
              <w:rPr>
                <w:rFonts w:ascii="Arial" w:hAnsi="Arial" w:cs="Arial"/>
                <w:sz w:val="22"/>
                <w:szCs w:val="22"/>
              </w:rPr>
              <w:t>73.5 (29-87)</w:t>
            </w:r>
          </w:p>
        </w:tc>
      </w:tr>
      <w:tr w:rsidR="00C110CE" w:rsidRPr="00415103" w14:paraId="098B74C5" w14:textId="77777777" w:rsidTr="00097D09">
        <w:tc>
          <w:tcPr>
            <w:tcW w:w="4508" w:type="dxa"/>
          </w:tcPr>
          <w:p w14:paraId="5A953CC0" w14:textId="77777777" w:rsidR="00C110CE" w:rsidRPr="00415103" w:rsidRDefault="00C110CE" w:rsidP="00097D09">
            <w:pPr>
              <w:rPr>
                <w:rFonts w:ascii="Arial" w:hAnsi="Arial" w:cs="Arial"/>
                <w:sz w:val="22"/>
                <w:szCs w:val="22"/>
              </w:rPr>
            </w:pPr>
            <w:r w:rsidRPr="00415103">
              <w:rPr>
                <w:rFonts w:ascii="Arial" w:hAnsi="Arial" w:cs="Arial"/>
                <w:sz w:val="22"/>
                <w:szCs w:val="22"/>
              </w:rPr>
              <w:t>Underlying diagnosis, n (%)</w:t>
            </w:r>
          </w:p>
          <w:p w14:paraId="2A487B40" w14:textId="77777777" w:rsidR="00C110CE" w:rsidRPr="00415103" w:rsidRDefault="00C110CE" w:rsidP="00097D09">
            <w:pPr>
              <w:ind w:left="720"/>
              <w:rPr>
                <w:rFonts w:ascii="Arial" w:hAnsi="Arial" w:cs="Arial"/>
                <w:sz w:val="22"/>
                <w:szCs w:val="22"/>
              </w:rPr>
            </w:pPr>
            <w:r w:rsidRPr="00415103">
              <w:rPr>
                <w:rFonts w:ascii="Arial" w:hAnsi="Arial" w:cs="Arial"/>
                <w:sz w:val="22"/>
                <w:szCs w:val="22"/>
              </w:rPr>
              <w:t>None</w:t>
            </w:r>
          </w:p>
          <w:p w14:paraId="39AD1680" w14:textId="77777777" w:rsidR="00C110CE" w:rsidRPr="00415103" w:rsidRDefault="00C110CE" w:rsidP="00097D09">
            <w:pPr>
              <w:ind w:left="720"/>
              <w:rPr>
                <w:rFonts w:ascii="Arial" w:hAnsi="Arial" w:cs="Arial"/>
                <w:sz w:val="22"/>
                <w:szCs w:val="22"/>
              </w:rPr>
            </w:pPr>
            <w:r w:rsidRPr="00415103">
              <w:rPr>
                <w:rFonts w:ascii="Arial" w:hAnsi="Arial" w:cs="Arial"/>
                <w:sz w:val="22"/>
                <w:szCs w:val="22"/>
              </w:rPr>
              <w:t>Autoimmune</w:t>
            </w:r>
          </w:p>
          <w:p w14:paraId="4044F495" w14:textId="77777777" w:rsidR="00C110CE" w:rsidRPr="00415103" w:rsidRDefault="00C110CE" w:rsidP="00097D09">
            <w:pPr>
              <w:ind w:left="720"/>
              <w:rPr>
                <w:rFonts w:ascii="Arial" w:hAnsi="Arial" w:cs="Arial"/>
                <w:sz w:val="22"/>
                <w:szCs w:val="22"/>
              </w:rPr>
            </w:pPr>
            <w:r w:rsidRPr="00415103">
              <w:rPr>
                <w:rFonts w:ascii="Arial" w:hAnsi="Arial" w:cs="Arial"/>
                <w:sz w:val="22"/>
                <w:szCs w:val="22"/>
              </w:rPr>
              <w:t>Malignancy</w:t>
            </w:r>
          </w:p>
          <w:p w14:paraId="3067C7EE" w14:textId="77777777" w:rsidR="00C110CE" w:rsidRPr="00415103" w:rsidRDefault="00C110CE" w:rsidP="00097D09">
            <w:pPr>
              <w:ind w:left="720"/>
              <w:rPr>
                <w:rFonts w:ascii="Arial" w:hAnsi="Arial" w:cs="Arial"/>
                <w:sz w:val="22"/>
                <w:szCs w:val="22"/>
              </w:rPr>
            </w:pPr>
            <w:r w:rsidRPr="00415103">
              <w:rPr>
                <w:rFonts w:ascii="Arial" w:hAnsi="Arial" w:cs="Arial"/>
                <w:sz w:val="22"/>
                <w:szCs w:val="22"/>
              </w:rPr>
              <w:t>Postpartum</w:t>
            </w:r>
          </w:p>
        </w:tc>
        <w:tc>
          <w:tcPr>
            <w:tcW w:w="4508" w:type="dxa"/>
          </w:tcPr>
          <w:p w14:paraId="186DBA19" w14:textId="77777777" w:rsidR="00C110CE" w:rsidRPr="00415103" w:rsidRDefault="00C110CE" w:rsidP="00097D09">
            <w:pPr>
              <w:rPr>
                <w:rFonts w:ascii="Arial" w:hAnsi="Arial" w:cs="Arial"/>
                <w:sz w:val="22"/>
                <w:szCs w:val="22"/>
              </w:rPr>
            </w:pPr>
          </w:p>
          <w:p w14:paraId="4489133E" w14:textId="77777777" w:rsidR="00C110CE" w:rsidRPr="00415103" w:rsidRDefault="00C110CE" w:rsidP="00097D09">
            <w:pPr>
              <w:rPr>
                <w:rFonts w:ascii="Arial" w:hAnsi="Arial" w:cs="Arial"/>
                <w:sz w:val="22"/>
                <w:szCs w:val="22"/>
              </w:rPr>
            </w:pPr>
            <w:r w:rsidRPr="00415103">
              <w:rPr>
                <w:rFonts w:ascii="Arial" w:hAnsi="Arial" w:cs="Arial"/>
                <w:sz w:val="22"/>
                <w:szCs w:val="22"/>
              </w:rPr>
              <w:t>17 (45)</w:t>
            </w:r>
          </w:p>
          <w:p w14:paraId="59B41A46" w14:textId="77777777" w:rsidR="00C110CE" w:rsidRPr="00415103" w:rsidRDefault="00C110CE" w:rsidP="00097D09">
            <w:pPr>
              <w:rPr>
                <w:rFonts w:ascii="Arial" w:hAnsi="Arial" w:cs="Arial"/>
                <w:sz w:val="22"/>
                <w:szCs w:val="22"/>
              </w:rPr>
            </w:pPr>
            <w:r w:rsidRPr="00415103">
              <w:rPr>
                <w:rFonts w:ascii="Arial" w:hAnsi="Arial" w:cs="Arial"/>
                <w:sz w:val="22"/>
                <w:szCs w:val="22"/>
              </w:rPr>
              <w:t>10 (27)</w:t>
            </w:r>
          </w:p>
          <w:p w14:paraId="6D60C6B8" w14:textId="77777777" w:rsidR="00C110CE" w:rsidRPr="00415103" w:rsidRDefault="00C110CE" w:rsidP="00097D09">
            <w:pPr>
              <w:rPr>
                <w:rFonts w:ascii="Arial" w:hAnsi="Arial" w:cs="Arial"/>
                <w:sz w:val="22"/>
                <w:szCs w:val="22"/>
              </w:rPr>
            </w:pPr>
            <w:r w:rsidRPr="00415103">
              <w:rPr>
                <w:rFonts w:ascii="Arial" w:hAnsi="Arial" w:cs="Arial"/>
                <w:sz w:val="22"/>
                <w:szCs w:val="22"/>
              </w:rPr>
              <w:t>7 (18)</w:t>
            </w:r>
          </w:p>
          <w:p w14:paraId="34B47223" w14:textId="77777777" w:rsidR="00C110CE" w:rsidRPr="00415103" w:rsidRDefault="00C110CE" w:rsidP="00097D09">
            <w:pPr>
              <w:rPr>
                <w:rFonts w:ascii="Arial" w:hAnsi="Arial" w:cs="Arial"/>
                <w:sz w:val="22"/>
                <w:szCs w:val="22"/>
              </w:rPr>
            </w:pPr>
            <w:r w:rsidRPr="00415103">
              <w:rPr>
                <w:rFonts w:ascii="Arial" w:hAnsi="Arial" w:cs="Arial"/>
                <w:sz w:val="22"/>
                <w:szCs w:val="22"/>
              </w:rPr>
              <w:t>4 (11)</w:t>
            </w:r>
          </w:p>
        </w:tc>
      </w:tr>
      <w:tr w:rsidR="00C110CE" w:rsidRPr="00415103" w14:paraId="68161310" w14:textId="77777777" w:rsidTr="00097D09">
        <w:tc>
          <w:tcPr>
            <w:tcW w:w="4508" w:type="dxa"/>
          </w:tcPr>
          <w:p w14:paraId="460B6B0E" w14:textId="77777777" w:rsidR="00C110CE" w:rsidRPr="00415103" w:rsidRDefault="00C110CE" w:rsidP="00097D09">
            <w:pPr>
              <w:rPr>
                <w:rFonts w:ascii="Arial" w:hAnsi="Arial" w:cs="Arial"/>
                <w:sz w:val="22"/>
                <w:szCs w:val="22"/>
              </w:rPr>
            </w:pPr>
            <w:r w:rsidRPr="00415103">
              <w:rPr>
                <w:rFonts w:ascii="Arial" w:hAnsi="Arial" w:cs="Arial"/>
                <w:sz w:val="22"/>
                <w:szCs w:val="22"/>
              </w:rPr>
              <w:t>FVIII level (%), mean</w:t>
            </w:r>
          </w:p>
        </w:tc>
        <w:tc>
          <w:tcPr>
            <w:tcW w:w="4508" w:type="dxa"/>
          </w:tcPr>
          <w:p w14:paraId="3F16C87C" w14:textId="77777777" w:rsidR="00C110CE" w:rsidRPr="00415103" w:rsidRDefault="00C110CE" w:rsidP="00097D09">
            <w:pPr>
              <w:rPr>
                <w:rFonts w:ascii="Arial" w:hAnsi="Arial" w:cs="Arial"/>
                <w:sz w:val="22"/>
                <w:szCs w:val="22"/>
              </w:rPr>
            </w:pPr>
            <w:r w:rsidRPr="00415103">
              <w:rPr>
                <w:rFonts w:ascii="Arial" w:hAnsi="Arial" w:cs="Arial"/>
                <w:sz w:val="22"/>
                <w:szCs w:val="22"/>
              </w:rPr>
              <w:t>5.4</w:t>
            </w:r>
          </w:p>
        </w:tc>
      </w:tr>
      <w:tr w:rsidR="00C110CE" w:rsidRPr="00415103" w14:paraId="79620BB1" w14:textId="77777777" w:rsidTr="00097D09">
        <w:tc>
          <w:tcPr>
            <w:tcW w:w="4508" w:type="dxa"/>
          </w:tcPr>
          <w:p w14:paraId="31E63ABC" w14:textId="77777777" w:rsidR="00C110CE" w:rsidRPr="00415103" w:rsidRDefault="00C110CE" w:rsidP="00097D09">
            <w:pPr>
              <w:rPr>
                <w:rFonts w:ascii="Arial" w:hAnsi="Arial" w:cs="Arial"/>
                <w:sz w:val="22"/>
                <w:szCs w:val="22"/>
              </w:rPr>
            </w:pPr>
            <w:r w:rsidRPr="00415103">
              <w:rPr>
                <w:rFonts w:ascii="Arial" w:hAnsi="Arial" w:cs="Arial"/>
                <w:sz w:val="22"/>
                <w:szCs w:val="22"/>
              </w:rPr>
              <w:t>FVIII inhibitor titre (BU/mL), mean</w:t>
            </w:r>
          </w:p>
        </w:tc>
        <w:tc>
          <w:tcPr>
            <w:tcW w:w="4508" w:type="dxa"/>
          </w:tcPr>
          <w:p w14:paraId="686803AE" w14:textId="77777777" w:rsidR="00C110CE" w:rsidRPr="00415103" w:rsidRDefault="00C110CE" w:rsidP="00097D09">
            <w:pPr>
              <w:rPr>
                <w:rFonts w:ascii="Arial" w:hAnsi="Arial" w:cs="Arial"/>
                <w:sz w:val="22"/>
                <w:szCs w:val="22"/>
              </w:rPr>
            </w:pPr>
            <w:r w:rsidRPr="00415103">
              <w:rPr>
                <w:rFonts w:ascii="Arial" w:hAnsi="Arial" w:cs="Arial"/>
                <w:sz w:val="22"/>
                <w:szCs w:val="22"/>
              </w:rPr>
              <w:t>20.55</w:t>
            </w:r>
          </w:p>
        </w:tc>
      </w:tr>
    </w:tbl>
    <w:p w14:paraId="619B9938" w14:textId="5AC84522" w:rsidR="004514A6" w:rsidRPr="00D151D3" w:rsidRDefault="00C110CE" w:rsidP="00D151D3">
      <w:pPr>
        <w:rPr>
          <w:rFonts w:ascii="Arial" w:hAnsi="Arial" w:cs="Arial"/>
        </w:rPr>
      </w:pPr>
      <w:r w:rsidRPr="00415103">
        <w:rPr>
          <w:rFonts w:ascii="Arial" w:hAnsi="Arial" w:cs="Arial"/>
          <w:b/>
          <w:bCs/>
          <w:color w:val="231F20"/>
        </w:rPr>
        <w:t>Conclusion: </w:t>
      </w:r>
      <w:r w:rsidRPr="00415103">
        <w:rPr>
          <w:rFonts w:ascii="Arial" w:hAnsi="Arial" w:cs="Arial"/>
        </w:rPr>
        <w:t>This is the largest study of AHA in Australia reported to date. Our findings of delayed diagnosis, high complication rates and late relapses highlight the importance of improved awareness of AHA and continuing follow-up of patients.</w:t>
      </w:r>
    </w:p>
    <w:sectPr w:rsidR="004514A6" w:rsidRPr="00D15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CE"/>
    <w:rsid w:val="00445A0E"/>
    <w:rsid w:val="004514A6"/>
    <w:rsid w:val="006A26C0"/>
    <w:rsid w:val="00C110CE"/>
    <w:rsid w:val="00D151D3"/>
    <w:rsid w:val="00ED4DA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813A"/>
  <w15:chartTrackingRefBased/>
  <w15:docId w15:val="{48CA291A-FFA8-4B1E-8C3D-21D53285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CE"/>
    <w:pPr>
      <w:spacing w:line="240" w:lineRule="auto"/>
    </w:pPr>
    <w:rPr>
      <w:rFonts w:asciiTheme="minorHAnsi" w:eastAsiaTheme="minorEastAsia" w:hAnsiTheme="minorHAns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BookPaperTitle">
    <w:name w:val="Abstract Book Paper Title"/>
    <w:basedOn w:val="Normal"/>
    <w:rsid w:val="00C110CE"/>
    <w:pPr>
      <w:spacing w:after="144"/>
    </w:pPr>
    <w:rPr>
      <w:sz w:val="32"/>
    </w:rPr>
  </w:style>
  <w:style w:type="paragraph" w:customStyle="1" w:styleId="AbstractBookAuthors">
    <w:name w:val="Abstract Book Authors"/>
    <w:basedOn w:val="Normal"/>
    <w:rsid w:val="00C110CE"/>
    <w:rPr>
      <w:rFonts w:ascii="Calibri Light" w:hAnsi="Calibri Light"/>
    </w:rPr>
  </w:style>
  <w:style w:type="character" w:customStyle="1" w:styleId="AbstractBookPresentingAuthor">
    <w:name w:val="Abstract Book Presenting Author"/>
    <w:basedOn w:val="DefaultParagraphFont"/>
    <w:rsid w:val="00C110CE"/>
    <w:rPr>
      <w:rFonts w:ascii="Calibri Light" w:hAnsi="Calibri Light"/>
      <w:b/>
      <w:vanish w:val="0"/>
      <w:u w:val="single"/>
    </w:rPr>
  </w:style>
  <w:style w:type="paragraph" w:customStyle="1" w:styleId="AbstractBookBaseParagraph">
    <w:name w:val="Abstract Book Base Paragraph"/>
    <w:basedOn w:val="Normal"/>
    <w:rsid w:val="00C110CE"/>
  </w:style>
  <w:style w:type="paragraph" w:customStyle="1" w:styleId="AbstractBookAffiliations">
    <w:name w:val="Abstract Book Affiliations"/>
    <w:basedOn w:val="AbstractBookBaseParagraph"/>
    <w:rsid w:val="00C110CE"/>
    <w:pPr>
      <w:spacing w:after="144"/>
    </w:pPr>
    <w:rPr>
      <w:rFonts w:ascii="Calibri Light" w:hAnsi="Calibri Light"/>
      <w:i/>
      <w:sz w:val="20"/>
    </w:rPr>
  </w:style>
  <w:style w:type="character" w:styleId="CommentReference">
    <w:name w:val="annotation reference"/>
    <w:basedOn w:val="DefaultParagraphFont"/>
    <w:rsid w:val="00C110CE"/>
    <w:rPr>
      <w:rFonts w:eastAsiaTheme="minorHAnsi"/>
      <w:sz w:val="16"/>
      <w:szCs w:val="16"/>
    </w:rPr>
  </w:style>
  <w:style w:type="table" w:styleId="TableGrid">
    <w:name w:val="Table Grid"/>
    <w:basedOn w:val="TableNormal"/>
    <w:uiPriority w:val="59"/>
    <w:rsid w:val="00C110CE"/>
    <w:pPr>
      <w:spacing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2013</Characters>
  <Application>Microsoft Office Word</Application>
  <DocSecurity>0</DocSecurity>
  <Lines>43</Lines>
  <Paragraphs>14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Aro</dc:creator>
  <cp:keywords/>
  <dc:description/>
  <cp:lastModifiedBy>Megan Sarson</cp:lastModifiedBy>
  <cp:revision>2</cp:revision>
  <dcterms:created xsi:type="dcterms:W3CDTF">2021-09-27T07:22:00Z</dcterms:created>
  <dcterms:modified xsi:type="dcterms:W3CDTF">2021-09-27T07:22:00Z</dcterms:modified>
</cp:coreProperties>
</file>